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738E16B" w14:textId="66B6B364" w:rsidR="00F55F26" w:rsidRPr="00F55F26" w:rsidRDefault="006F0040" w:rsidP="00F55F26">
      <w:pPr>
        <w:tabs>
          <w:tab w:val="left" w:pos="283"/>
        </w:tabs>
        <w:jc w:val="center"/>
        <w:rPr>
          <w:rFonts w:eastAsia="Times New Roman" w:cs="Arial"/>
          <w:b/>
          <w:iCs/>
          <w:szCs w:val="20"/>
          <w:lang w:val="en-GB" w:eastAsia="en-GB"/>
        </w:rPr>
      </w:pPr>
      <w:r w:rsidRPr="69F386EC">
        <w:rPr>
          <w:rFonts w:eastAsia="Times New Roman" w:cs="Arial"/>
          <w:b/>
          <w:bCs/>
          <w:sz w:val="24"/>
          <w:szCs w:val="24"/>
          <w:lang w:eastAsia="en-IE"/>
        </w:rPr>
        <w:t xml:space="preserve">Recruitment reference no: </w:t>
      </w:r>
      <w:r w:rsidR="00F55F26">
        <w:rPr>
          <w:rFonts w:eastAsia="Times New Roman" w:cs="Arial"/>
          <w:b/>
          <w:bCs/>
          <w:sz w:val="24"/>
          <w:szCs w:val="24"/>
          <w:lang w:eastAsia="en-IE"/>
        </w:rPr>
        <w:t xml:space="preserve">G12058 </w:t>
      </w:r>
      <w:r w:rsidR="00F55F26" w:rsidRPr="00F55F26">
        <w:rPr>
          <w:rFonts w:eastAsia="Times New Roman" w:cs="Arial"/>
          <w:b/>
          <w:bCs/>
          <w:sz w:val="24"/>
          <w:szCs w:val="24"/>
          <w:lang w:eastAsia="en-IE"/>
        </w:rPr>
        <w:t xml:space="preserve">Occupational Therapist, Clinical Specialist, Rheumatology – Early Inflammatory Arthritis.  </w:t>
      </w:r>
      <w:proofErr w:type="spellStart"/>
      <w:r w:rsidR="00F55F26" w:rsidRPr="00F55F26">
        <w:rPr>
          <w:rFonts w:eastAsia="Times New Roman" w:cs="Arial"/>
          <w:b/>
          <w:bCs/>
          <w:sz w:val="24"/>
          <w:szCs w:val="24"/>
          <w:lang w:eastAsia="en-IE"/>
        </w:rPr>
        <w:t>Teiripeoir</w:t>
      </w:r>
      <w:proofErr w:type="spellEnd"/>
      <w:r w:rsidR="00F55F26" w:rsidRPr="00F55F26">
        <w:rPr>
          <w:rFonts w:eastAsia="Times New Roman" w:cs="Arial"/>
          <w:b/>
          <w:bCs/>
          <w:sz w:val="24"/>
          <w:szCs w:val="24"/>
          <w:lang w:eastAsia="en-IE"/>
        </w:rPr>
        <w:t xml:space="preserve"> </w:t>
      </w:r>
      <w:proofErr w:type="spellStart"/>
      <w:r w:rsidR="00F55F26" w:rsidRPr="00F55F26">
        <w:rPr>
          <w:rFonts w:eastAsia="Times New Roman" w:cs="Arial"/>
          <w:b/>
          <w:bCs/>
          <w:sz w:val="24"/>
          <w:szCs w:val="24"/>
          <w:lang w:eastAsia="en-IE"/>
        </w:rPr>
        <w:t>Gairme</w:t>
      </w:r>
      <w:proofErr w:type="spellEnd"/>
      <w:r w:rsidR="00F55F26" w:rsidRPr="00F55F26">
        <w:rPr>
          <w:rFonts w:eastAsia="Times New Roman" w:cs="Arial"/>
          <w:b/>
          <w:bCs/>
          <w:sz w:val="24"/>
          <w:szCs w:val="24"/>
          <w:lang w:eastAsia="en-IE"/>
        </w:rPr>
        <w:t xml:space="preserve">, </w:t>
      </w:r>
      <w:proofErr w:type="spellStart"/>
      <w:r w:rsidR="00F55F26" w:rsidRPr="00F55F26">
        <w:rPr>
          <w:rFonts w:eastAsia="Times New Roman" w:cs="Arial"/>
          <w:b/>
          <w:bCs/>
          <w:sz w:val="24"/>
          <w:szCs w:val="24"/>
          <w:lang w:eastAsia="en-IE"/>
        </w:rPr>
        <w:t>Speisialtóir</w:t>
      </w:r>
      <w:proofErr w:type="spellEnd"/>
      <w:r w:rsidR="00F55F26" w:rsidRPr="00F55F26">
        <w:rPr>
          <w:rFonts w:eastAsia="Times New Roman" w:cs="Arial"/>
          <w:b/>
          <w:bCs/>
          <w:sz w:val="24"/>
          <w:szCs w:val="24"/>
          <w:lang w:eastAsia="en-IE"/>
        </w:rPr>
        <w:t xml:space="preserve"> </w:t>
      </w:r>
      <w:proofErr w:type="spellStart"/>
      <w:r w:rsidR="00F55F26" w:rsidRPr="00F55F26">
        <w:rPr>
          <w:rFonts w:eastAsia="Times New Roman" w:cs="Arial"/>
          <w:b/>
          <w:bCs/>
          <w:sz w:val="24"/>
          <w:szCs w:val="24"/>
          <w:lang w:eastAsia="en-IE"/>
        </w:rPr>
        <w:t>Cliniciúil</w:t>
      </w:r>
      <w:proofErr w:type="spellEnd"/>
    </w:p>
    <w:p w14:paraId="342D91CE" w14:textId="780FAC02" w:rsidR="006F0040" w:rsidRDefault="006F0040" w:rsidP="00F55F26">
      <w:pPr>
        <w:widowControl w:val="0"/>
        <w:autoSpaceDE w:val="0"/>
        <w:autoSpaceDN w:val="0"/>
        <w:adjustRightInd w:val="0"/>
        <w:spacing w:before="240" w:after="0" w:line="240" w:lineRule="auto"/>
        <w:jc w:val="center"/>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3938093"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F55F26">
        <w:rPr>
          <w:rFonts w:ascii="Arial" w:eastAsia="Times New Roman" w:hAnsi="Arial" w:cs="Arial"/>
          <w:color w:val="000099"/>
          <w:sz w:val="20"/>
          <w:szCs w:val="20"/>
        </w:rPr>
        <w:t xml:space="preserve">Galway University Hospitals Recruitment Department, </w:t>
      </w:r>
      <w:hyperlink r:id="rId10" w:history="1">
        <w:r w:rsidR="00F55F26" w:rsidRPr="0097342B">
          <w:rPr>
            <w:rStyle w:val="Hyperlink"/>
            <w:rFonts w:ascii="Arial" w:eastAsia="Times New Roman" w:hAnsi="Arial" w:cs="Arial"/>
            <w:sz w:val="20"/>
            <w:szCs w:val="20"/>
          </w:rPr>
          <w:t>Recruit.guh@hse.ie</w:t>
        </w:r>
      </w:hyperlink>
      <w:r w:rsidR="00F55F26">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p w14:paraId="11896D6E" w14:textId="01C7A300" w:rsidR="006F0040" w:rsidRPr="00745CEC" w:rsidRDefault="006F0040" w:rsidP="006F0040">
      <w:pPr>
        <w:pStyle w:val="ListParagraph"/>
        <w:spacing w:before="240" w:after="120" w:line="240" w:lineRule="auto"/>
        <w:ind w:left="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5108BC"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5108BC"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5108BC"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5108BC"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5108BC"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5108BC"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5108BC"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5108BC"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5108BC"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5108BC"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5108BC"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5108BC"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5108BC"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5108BC"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5108BC"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5108BC"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5108BC"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5108BC"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5108BC"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5108BC"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5108BC"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5108BC"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Pr="005108BC"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t>
      </w:r>
      <w:r w:rsidRPr="005108BC">
        <w:rPr>
          <w:rFonts w:eastAsia="Times New Roman" w:cs="Arial"/>
          <w:szCs w:val="20"/>
          <w:lang w:eastAsia="en-IE"/>
        </w:rPr>
        <w:t xml:space="preserve">will receive more details at that stage. </w:t>
      </w:r>
      <w:r w:rsidRPr="005108BC">
        <w:rPr>
          <w:rFonts w:eastAsia="Times New Roman" w:cs="Arial"/>
          <w:bCs/>
          <w:szCs w:val="20"/>
          <w:lang w:eastAsia="en-IE"/>
        </w:rPr>
        <w:t xml:space="preserve"> </w:t>
      </w:r>
    </w:p>
    <w:p w14:paraId="208327D5" w14:textId="3FA4F9D2" w:rsidR="006F0040" w:rsidRPr="005108BC" w:rsidRDefault="006F0040" w:rsidP="3CD97C2E">
      <w:pPr>
        <w:numPr>
          <w:ilvl w:val="0"/>
          <w:numId w:val="7"/>
        </w:numPr>
        <w:spacing w:before="240" w:after="0" w:line="240" w:lineRule="auto"/>
        <w:ind w:left="357" w:hanging="357"/>
        <w:rPr>
          <w:rFonts w:cs="Arial"/>
          <w:szCs w:val="20"/>
        </w:rPr>
      </w:pPr>
      <w:r w:rsidRPr="005108BC">
        <w:rPr>
          <w:rFonts w:eastAsia="Times New Roman" w:cs="Arial"/>
          <w:color w:val="000000" w:themeColor="text1"/>
          <w:szCs w:val="20"/>
          <w:lang w:eastAsia="en-IE"/>
        </w:rPr>
        <w:t>Proposed inte</w:t>
      </w:r>
      <w:r w:rsidRPr="005108BC">
        <w:rPr>
          <w:rFonts w:eastAsiaTheme="minorEastAsia" w:cs="Arial"/>
          <w:color w:val="000000" w:themeColor="text1"/>
          <w:szCs w:val="20"/>
          <w:lang w:eastAsia="en-IE"/>
        </w:rPr>
        <w:t>rview dates will be</w:t>
      </w:r>
      <w:r w:rsidR="73CDA80B" w:rsidRPr="005108BC">
        <w:rPr>
          <w:rFonts w:eastAsiaTheme="minorEastAsia" w:cs="Arial"/>
          <w:color w:val="000000" w:themeColor="text1"/>
          <w:szCs w:val="20"/>
          <w:lang w:eastAsia="en-IE"/>
        </w:rPr>
        <w:t xml:space="preserve"> </w:t>
      </w:r>
      <w:r w:rsidRPr="005108BC">
        <w:rPr>
          <w:rFonts w:eastAsiaTheme="minorEastAsia" w:cs="Arial"/>
          <w:color w:val="000000" w:themeColor="text1"/>
          <w:szCs w:val="20"/>
          <w:lang w:eastAsia="en-IE"/>
        </w:rPr>
        <w:t xml:space="preserve">indicated at a later stage. Usually, candidates will receive, at least, </w:t>
      </w:r>
      <w:r w:rsidRPr="005108BC">
        <w:rPr>
          <w:rFonts w:cs="Arial"/>
          <w:szCs w:val="20"/>
        </w:rPr>
        <w:t xml:space="preserve">two weeks' notice of interview. It may be less, in exceptional circumstances.] </w:t>
      </w:r>
    </w:p>
    <w:p w14:paraId="629BC9EE" w14:textId="77777777" w:rsidR="006F0040" w:rsidRPr="005108BC" w:rsidRDefault="006F0040" w:rsidP="3CD97C2E">
      <w:pPr>
        <w:numPr>
          <w:ilvl w:val="0"/>
          <w:numId w:val="7"/>
        </w:numPr>
        <w:spacing w:before="240" w:after="0" w:line="240" w:lineRule="auto"/>
        <w:ind w:left="357" w:hanging="357"/>
        <w:rPr>
          <w:rFonts w:eastAsia="Times New Roman" w:cs="Arial"/>
          <w:color w:val="000000" w:themeColor="text1"/>
          <w:szCs w:val="20"/>
          <w:lang w:eastAsia="en-IE"/>
        </w:rPr>
      </w:pPr>
      <w:r w:rsidRPr="005108BC">
        <w:rPr>
          <w:rFonts w:cs="Arial"/>
          <w:szCs w:val="20"/>
        </w:rPr>
        <w:t xml:space="preserve">We will place applicants, </w:t>
      </w:r>
      <w:r w:rsidRPr="005108BC">
        <w:rPr>
          <w:rFonts w:eastAsia="Times New Roman" w:cs="Arial"/>
          <w:color w:val="000000" w:themeColor="text1"/>
          <w:szCs w:val="20"/>
          <w:lang w:eastAsia="en-IE"/>
        </w:rPr>
        <w:t xml:space="preserve">successful at the interview stage, on a panel in order of merit. </w:t>
      </w:r>
    </w:p>
    <w:p w14:paraId="0D9E881B" w14:textId="77777777" w:rsidR="006F0040" w:rsidRPr="005108BC" w:rsidRDefault="006F0040" w:rsidP="3CD97C2E">
      <w:pPr>
        <w:numPr>
          <w:ilvl w:val="0"/>
          <w:numId w:val="7"/>
        </w:numPr>
        <w:spacing w:before="240" w:after="0" w:line="240" w:lineRule="auto"/>
        <w:ind w:left="357" w:hanging="357"/>
        <w:rPr>
          <w:rFonts w:eastAsia="Times New Roman" w:cs="Arial"/>
          <w:szCs w:val="20"/>
          <w:lang w:eastAsia="en-IE"/>
        </w:rPr>
      </w:pPr>
      <w:r w:rsidRPr="005108BC">
        <w:rPr>
          <w:rFonts w:eastAsia="Times New Roman" w:cs="Arial"/>
          <w:color w:val="000000" w:themeColor="text1"/>
          <w:szCs w:val="20"/>
          <w:lang w:eastAsia="en-IE"/>
        </w:rPr>
        <w:t>If there is an existing panel in place, it may take precedence</w:t>
      </w:r>
      <w:r w:rsidRPr="005108BC">
        <w:rPr>
          <w:rFonts w:eastAsia="Times New Roman" w:cs="Arial"/>
          <w:szCs w:val="20"/>
          <w:lang w:eastAsia="en-IE"/>
        </w:rPr>
        <w:t xml:space="preserve"> over the newly formed panel for this campaign. </w:t>
      </w:r>
      <w:hyperlink w:anchor="_Appendix:_5_Panel">
        <w:r w:rsidRPr="005108BC">
          <w:rPr>
            <w:rStyle w:val="Hyperlink"/>
            <w:rFonts w:eastAsia="Times New Roman" w:cs="Arial"/>
            <w:color w:val="auto"/>
            <w:szCs w:val="20"/>
            <w:lang w:eastAsia="en-IE"/>
          </w:rPr>
          <w:t>Appendix 5</w:t>
        </w:r>
      </w:hyperlink>
      <w:r w:rsidRPr="005108BC">
        <w:rPr>
          <w:rStyle w:val="Hyperlink"/>
          <w:rFonts w:eastAsia="Times New Roman" w:cs="Arial"/>
          <w:color w:val="auto"/>
          <w:szCs w:val="20"/>
          <w:lang w:eastAsia="en-IE"/>
        </w:rPr>
        <w:t xml:space="preserve"> provides full details on panel management rules</w:t>
      </w:r>
      <w:r w:rsidRPr="005108BC">
        <w:rPr>
          <w:rFonts w:eastAsia="Times New Roman" w:cs="Arial"/>
          <w:szCs w:val="20"/>
          <w:lang w:eastAsia="en-IE"/>
        </w:rPr>
        <w:t>.</w:t>
      </w:r>
    </w:p>
    <w:p w14:paraId="15D822B7" w14:textId="77777777" w:rsidR="006F0040" w:rsidRPr="005108BC" w:rsidRDefault="006F0040" w:rsidP="006F0040">
      <w:pPr>
        <w:numPr>
          <w:ilvl w:val="0"/>
          <w:numId w:val="7"/>
        </w:numPr>
        <w:spacing w:before="240" w:after="0" w:line="240" w:lineRule="auto"/>
        <w:ind w:left="357" w:hanging="357"/>
        <w:rPr>
          <w:rFonts w:eastAsia="Times New Roman" w:cs="Arial"/>
          <w:bCs/>
          <w:szCs w:val="20"/>
          <w:lang w:eastAsia="en-IE"/>
        </w:rPr>
      </w:pPr>
      <w:r w:rsidRPr="005108BC">
        <w:rPr>
          <w:rFonts w:eastAsia="Times New Roman" w:cs="Arial"/>
          <w:bCs/>
          <w:szCs w:val="20"/>
          <w:lang w:eastAsia="en-IE"/>
        </w:rPr>
        <w:t xml:space="preserve">Posts are offered to the candidate with the highest order of merit. </w:t>
      </w:r>
    </w:p>
    <w:p w14:paraId="1FB89515" w14:textId="77777777" w:rsidR="006F0040" w:rsidRPr="005108BC" w:rsidRDefault="006F0040" w:rsidP="006F0040">
      <w:pPr>
        <w:numPr>
          <w:ilvl w:val="0"/>
          <w:numId w:val="7"/>
        </w:numPr>
        <w:spacing w:before="240" w:after="0" w:line="240" w:lineRule="auto"/>
        <w:ind w:left="357" w:hanging="357"/>
        <w:rPr>
          <w:rFonts w:eastAsia="Times New Roman" w:cs="Arial"/>
          <w:bCs/>
          <w:szCs w:val="20"/>
          <w:lang w:eastAsia="en-IE"/>
        </w:rPr>
      </w:pPr>
      <w:r w:rsidRPr="005108BC">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5108BC"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5108BC"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5108BC"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33B7B510" w14:textId="02FC0602" w:rsidR="005108BC" w:rsidRPr="005108BC" w:rsidRDefault="005108BC" w:rsidP="005108BC">
      <w:pPr>
        <w:autoSpaceDE w:val="0"/>
        <w:autoSpaceDN w:val="0"/>
        <w:adjustRightInd w:val="0"/>
        <w:rPr>
          <w:rFonts w:asciiTheme="minorHAnsi" w:hAnsiTheme="minorHAnsi" w:cstheme="minorHAnsi"/>
          <w:color w:val="000000"/>
          <w:sz w:val="22"/>
        </w:rPr>
      </w:pPr>
      <w:r w:rsidRPr="00B95156">
        <w:rPr>
          <w:rFonts w:asciiTheme="minorHAnsi" w:hAnsiTheme="minorHAnsi" w:cstheme="minorHAnsi"/>
          <w:color w:val="000000"/>
          <w:sz w:val="22"/>
          <w:lang w:val="en-US"/>
        </w:rPr>
        <w:t>Candidates must on the closing date:</w:t>
      </w:r>
    </w:p>
    <w:p w14:paraId="29AA017A" w14:textId="77777777" w:rsidR="005108BC" w:rsidRPr="00B95156" w:rsidRDefault="005108BC" w:rsidP="005108BC">
      <w:pPr>
        <w:rPr>
          <w:rFonts w:asciiTheme="minorHAnsi" w:hAnsiTheme="minorHAnsi" w:cstheme="minorHAnsi"/>
          <w:b/>
          <w:sz w:val="22"/>
          <w:u w:val="single"/>
        </w:rPr>
      </w:pPr>
      <w:r w:rsidRPr="00B95156">
        <w:rPr>
          <w:rFonts w:asciiTheme="minorHAnsi" w:hAnsiTheme="minorHAnsi" w:cstheme="minorHAnsi"/>
          <w:b/>
          <w:sz w:val="22"/>
          <w:u w:val="single"/>
        </w:rPr>
        <w:t>1. Statutory Registration, Professional Qualifications, Experience, etc.</w:t>
      </w:r>
    </w:p>
    <w:p w14:paraId="0B69E7CC" w14:textId="7BA4DCAB" w:rsidR="005108BC" w:rsidRDefault="005108BC" w:rsidP="005108BC">
      <w:pPr>
        <w:rPr>
          <w:rFonts w:asciiTheme="minorHAnsi" w:hAnsiTheme="minorHAnsi" w:cstheme="minorHAnsi"/>
          <w:bCs/>
          <w:sz w:val="22"/>
        </w:rPr>
      </w:pPr>
      <w:r w:rsidRPr="00B95156">
        <w:rPr>
          <w:rFonts w:asciiTheme="minorHAnsi" w:hAnsiTheme="minorHAnsi" w:cstheme="minorHAnsi"/>
          <w:bCs/>
          <w:sz w:val="22"/>
        </w:rPr>
        <w:t>(a) Eligible applicants will be those who on the closing date for the competition have the following:</w:t>
      </w:r>
    </w:p>
    <w:p w14:paraId="7EB29742" w14:textId="77777777" w:rsidR="005108BC" w:rsidRPr="00B95156" w:rsidRDefault="005108BC" w:rsidP="005108BC">
      <w:pPr>
        <w:rPr>
          <w:rFonts w:asciiTheme="minorHAnsi" w:hAnsiTheme="minorHAnsi" w:cstheme="minorHAnsi"/>
          <w:bCs/>
          <w:sz w:val="22"/>
        </w:rPr>
      </w:pPr>
    </w:p>
    <w:p w14:paraId="78EE2917"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w:t>
      </w:r>
      <w:proofErr w:type="spellStart"/>
      <w:r w:rsidRPr="00B95156">
        <w:rPr>
          <w:rFonts w:asciiTheme="minorHAnsi" w:hAnsiTheme="minorHAnsi" w:cstheme="minorHAnsi"/>
          <w:bCs/>
          <w:sz w:val="22"/>
        </w:rPr>
        <w:t>i</w:t>
      </w:r>
      <w:proofErr w:type="spellEnd"/>
      <w:r w:rsidRPr="00B95156">
        <w:rPr>
          <w:rFonts w:asciiTheme="minorHAnsi" w:hAnsiTheme="minorHAnsi" w:cstheme="minorHAnsi"/>
          <w:bCs/>
          <w:sz w:val="22"/>
        </w:rPr>
        <w:t>) Be registered, or be eligible for registration, on the Occupational Therapists</w:t>
      </w:r>
    </w:p>
    <w:p w14:paraId="63AB4918"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Register maintained by the Occupational Therapists Registration Board at CORU. </w:t>
      </w:r>
    </w:p>
    <w:p w14:paraId="12A1C9FF" w14:textId="197F2CDB" w:rsidR="005108BC" w:rsidRPr="00B95156" w:rsidRDefault="005108BC" w:rsidP="005108BC">
      <w:pPr>
        <w:jc w:val="center"/>
        <w:rPr>
          <w:rFonts w:asciiTheme="minorHAnsi" w:hAnsiTheme="minorHAnsi" w:cstheme="minorHAnsi"/>
          <w:b/>
          <w:sz w:val="22"/>
        </w:rPr>
      </w:pPr>
      <w:r w:rsidRPr="00B95156">
        <w:rPr>
          <w:rFonts w:asciiTheme="minorHAnsi" w:hAnsiTheme="minorHAnsi" w:cstheme="minorHAnsi"/>
          <w:b/>
          <w:sz w:val="22"/>
        </w:rPr>
        <w:t>And</w:t>
      </w:r>
    </w:p>
    <w:p w14:paraId="63CF060A"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(ii) Have five years full time (or an aggregate of five years) post registration </w:t>
      </w:r>
    </w:p>
    <w:p w14:paraId="182795A3"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qualification experience. Of which four years full time (or an aggregate of four </w:t>
      </w:r>
    </w:p>
    <w:p w14:paraId="41A44630"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years) post registration qualification clinical experience must be in the required </w:t>
      </w:r>
    </w:p>
    <w:p w14:paraId="56256D36"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area of Specialism.</w:t>
      </w:r>
    </w:p>
    <w:p w14:paraId="287A983A" w14:textId="2461CB05" w:rsidR="005108BC" w:rsidRPr="00B95156" w:rsidRDefault="005108BC" w:rsidP="005108BC">
      <w:pPr>
        <w:jc w:val="center"/>
        <w:rPr>
          <w:rFonts w:asciiTheme="minorHAnsi" w:hAnsiTheme="minorHAnsi" w:cstheme="minorHAnsi"/>
          <w:b/>
          <w:sz w:val="22"/>
        </w:rPr>
      </w:pPr>
      <w:r w:rsidRPr="00B95156">
        <w:rPr>
          <w:rFonts w:asciiTheme="minorHAnsi" w:hAnsiTheme="minorHAnsi" w:cstheme="minorHAnsi"/>
          <w:b/>
          <w:sz w:val="22"/>
        </w:rPr>
        <w:t>And</w:t>
      </w:r>
    </w:p>
    <w:p w14:paraId="022EA158"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(iii) Demonstrate a proven record of clinical excellence in the specialism.</w:t>
      </w:r>
    </w:p>
    <w:p w14:paraId="100F4BCE" w14:textId="56B64506" w:rsidR="005108BC" w:rsidRPr="00B95156" w:rsidRDefault="005108BC" w:rsidP="005108BC">
      <w:pPr>
        <w:jc w:val="center"/>
        <w:rPr>
          <w:rFonts w:asciiTheme="minorHAnsi" w:hAnsiTheme="minorHAnsi" w:cstheme="minorHAnsi"/>
          <w:b/>
          <w:sz w:val="22"/>
        </w:rPr>
      </w:pPr>
      <w:r w:rsidRPr="00B95156">
        <w:rPr>
          <w:rFonts w:asciiTheme="minorHAnsi" w:hAnsiTheme="minorHAnsi" w:cstheme="minorHAnsi"/>
          <w:b/>
          <w:sz w:val="22"/>
        </w:rPr>
        <w:t>And</w:t>
      </w:r>
    </w:p>
    <w:p w14:paraId="35DBCE51"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(iv) Candidates must demonstrate evidence of continuing professional development </w:t>
      </w:r>
    </w:p>
    <w:p w14:paraId="4C86C0E8"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relevant to the required area of specialism, in the form of post-graduate </w:t>
      </w:r>
    </w:p>
    <w:p w14:paraId="68A3690F"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qualifications or relevant courses.</w:t>
      </w:r>
    </w:p>
    <w:p w14:paraId="52DFBA40" w14:textId="2982D897" w:rsidR="005108BC" w:rsidRPr="00B95156" w:rsidRDefault="005108BC" w:rsidP="005108BC">
      <w:pPr>
        <w:jc w:val="center"/>
        <w:rPr>
          <w:rFonts w:asciiTheme="minorHAnsi" w:hAnsiTheme="minorHAnsi" w:cstheme="minorHAnsi"/>
          <w:b/>
          <w:sz w:val="22"/>
        </w:rPr>
      </w:pPr>
      <w:r w:rsidRPr="00B95156">
        <w:rPr>
          <w:rFonts w:asciiTheme="minorHAnsi" w:hAnsiTheme="minorHAnsi" w:cstheme="minorHAnsi"/>
          <w:b/>
          <w:sz w:val="22"/>
        </w:rPr>
        <w:t>And</w:t>
      </w:r>
    </w:p>
    <w:p w14:paraId="6BF907CF"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(v) Candidates must demonstrate achievement in the areas of clinical audit, quality </w:t>
      </w:r>
    </w:p>
    <w:p w14:paraId="4BAD72E1"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improvement initiatives, practice development, teaching and research. </w:t>
      </w:r>
    </w:p>
    <w:p w14:paraId="6C33DFB1" w14:textId="1BBBD16E" w:rsidR="005108BC" w:rsidRPr="00B95156" w:rsidRDefault="005108BC" w:rsidP="005108BC">
      <w:pPr>
        <w:jc w:val="center"/>
        <w:rPr>
          <w:rFonts w:asciiTheme="minorHAnsi" w:hAnsiTheme="minorHAnsi" w:cstheme="minorHAnsi"/>
          <w:b/>
          <w:sz w:val="22"/>
        </w:rPr>
      </w:pPr>
      <w:r w:rsidRPr="00B95156">
        <w:rPr>
          <w:rFonts w:asciiTheme="minorHAnsi" w:hAnsiTheme="minorHAnsi" w:cstheme="minorHAnsi"/>
          <w:b/>
          <w:sz w:val="22"/>
        </w:rPr>
        <w:t>And</w:t>
      </w:r>
    </w:p>
    <w:p w14:paraId="1D197F9D"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(vi) Provide proof of Statutory Registration on the Occupational Therapists Register </w:t>
      </w:r>
    </w:p>
    <w:p w14:paraId="76417CAE"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maintained by the Occupational Therapists Registration Board at CORU before </w:t>
      </w:r>
    </w:p>
    <w:p w14:paraId="49590676"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a contract of employment can be issued. </w:t>
      </w:r>
    </w:p>
    <w:p w14:paraId="49837B40" w14:textId="0F5E21C3" w:rsidR="005108BC" w:rsidRPr="00B95156" w:rsidRDefault="005108BC" w:rsidP="005108BC">
      <w:pPr>
        <w:jc w:val="center"/>
        <w:rPr>
          <w:rFonts w:asciiTheme="minorHAnsi" w:hAnsiTheme="minorHAnsi" w:cstheme="minorHAnsi"/>
          <w:b/>
          <w:sz w:val="22"/>
        </w:rPr>
      </w:pPr>
      <w:r w:rsidRPr="00B95156">
        <w:rPr>
          <w:rFonts w:asciiTheme="minorHAnsi" w:hAnsiTheme="minorHAnsi" w:cstheme="minorHAnsi"/>
          <w:b/>
          <w:sz w:val="22"/>
        </w:rPr>
        <w:t>And</w:t>
      </w:r>
    </w:p>
    <w:p w14:paraId="541C2914"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(vii) Candidates must possess the requisite knowledge and ability, (including a high </w:t>
      </w:r>
    </w:p>
    <w:p w14:paraId="5760D482"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standard of suitability, management, leadership and professional ability), for the </w:t>
      </w:r>
    </w:p>
    <w:p w14:paraId="38C55CD0"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proper discharge of the duties of the office.</w:t>
      </w:r>
    </w:p>
    <w:p w14:paraId="06866C63" w14:textId="77777777" w:rsidR="005108BC" w:rsidRPr="00B95156" w:rsidRDefault="005108BC" w:rsidP="005108BC">
      <w:pPr>
        <w:rPr>
          <w:rFonts w:asciiTheme="minorHAnsi" w:hAnsiTheme="minorHAnsi" w:cstheme="minorHAnsi"/>
          <w:bCs/>
          <w:sz w:val="22"/>
        </w:rPr>
      </w:pPr>
    </w:p>
    <w:p w14:paraId="6DF8B6C1" w14:textId="77777777" w:rsidR="005108BC" w:rsidRPr="00B95156" w:rsidRDefault="005108BC" w:rsidP="005108BC">
      <w:pPr>
        <w:rPr>
          <w:rFonts w:asciiTheme="minorHAnsi" w:hAnsiTheme="minorHAnsi" w:cstheme="minorHAnsi"/>
          <w:b/>
          <w:sz w:val="22"/>
          <w:u w:val="single"/>
        </w:rPr>
      </w:pPr>
    </w:p>
    <w:p w14:paraId="7987EB11" w14:textId="77777777" w:rsidR="005108BC" w:rsidRPr="00B95156" w:rsidRDefault="005108BC" w:rsidP="005108BC">
      <w:pPr>
        <w:rPr>
          <w:rFonts w:asciiTheme="minorHAnsi" w:hAnsiTheme="minorHAnsi" w:cstheme="minorHAnsi"/>
          <w:b/>
          <w:sz w:val="22"/>
          <w:u w:val="single"/>
        </w:rPr>
      </w:pPr>
      <w:r w:rsidRPr="00B95156">
        <w:rPr>
          <w:rFonts w:asciiTheme="minorHAnsi" w:hAnsiTheme="minorHAnsi" w:cstheme="minorHAnsi"/>
          <w:b/>
          <w:sz w:val="22"/>
          <w:u w:val="single"/>
        </w:rPr>
        <w:t>2. Annual registration</w:t>
      </w:r>
    </w:p>
    <w:p w14:paraId="6E51ED2D"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w:t>
      </w:r>
      <w:proofErr w:type="spellStart"/>
      <w:r w:rsidRPr="00B95156">
        <w:rPr>
          <w:rFonts w:asciiTheme="minorHAnsi" w:hAnsiTheme="minorHAnsi" w:cstheme="minorHAnsi"/>
          <w:bCs/>
          <w:sz w:val="22"/>
        </w:rPr>
        <w:t>i</w:t>
      </w:r>
      <w:proofErr w:type="spellEnd"/>
      <w:r w:rsidRPr="00B95156">
        <w:rPr>
          <w:rFonts w:asciiTheme="minorHAnsi" w:hAnsiTheme="minorHAnsi" w:cstheme="minorHAnsi"/>
          <w:bCs/>
          <w:sz w:val="22"/>
        </w:rPr>
        <w:t xml:space="preserve">) On appointment practitioners must maintain annual registration on the Occupational </w:t>
      </w:r>
    </w:p>
    <w:p w14:paraId="5804B6E1"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Therapists Register maintained by the Occupational Therapists Registration Board at </w:t>
      </w:r>
    </w:p>
    <w:p w14:paraId="47E8C65B"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CORU.</w:t>
      </w:r>
    </w:p>
    <w:p w14:paraId="480E6B1F" w14:textId="77777777" w:rsidR="005108BC" w:rsidRPr="00B95156" w:rsidRDefault="005108BC" w:rsidP="005108BC">
      <w:pPr>
        <w:jc w:val="center"/>
        <w:rPr>
          <w:rFonts w:asciiTheme="minorHAnsi" w:hAnsiTheme="minorHAnsi" w:cstheme="minorHAnsi"/>
          <w:b/>
          <w:sz w:val="22"/>
        </w:rPr>
      </w:pPr>
      <w:r w:rsidRPr="00B95156">
        <w:rPr>
          <w:rFonts w:asciiTheme="minorHAnsi" w:hAnsiTheme="minorHAnsi" w:cstheme="minorHAnsi"/>
          <w:b/>
          <w:sz w:val="22"/>
        </w:rPr>
        <w:t>AND</w:t>
      </w:r>
    </w:p>
    <w:p w14:paraId="6C306AD6"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 xml:space="preserve">(ii) Practitioners must confirm annual registration with CORU to the HSE by way of the </w:t>
      </w:r>
    </w:p>
    <w:p w14:paraId="187F8722" w14:textId="77777777" w:rsidR="005108BC" w:rsidRPr="00B95156" w:rsidRDefault="005108BC" w:rsidP="005108BC">
      <w:pPr>
        <w:rPr>
          <w:rFonts w:asciiTheme="minorHAnsi" w:hAnsiTheme="minorHAnsi" w:cstheme="minorHAnsi"/>
          <w:bCs/>
          <w:sz w:val="22"/>
        </w:rPr>
      </w:pPr>
      <w:r w:rsidRPr="00B95156">
        <w:rPr>
          <w:rFonts w:asciiTheme="minorHAnsi" w:hAnsiTheme="minorHAnsi" w:cstheme="minorHAnsi"/>
          <w:bCs/>
          <w:sz w:val="22"/>
        </w:rPr>
        <w:t>annual Patient Safety Assurance Certificate (PSAC).</w:t>
      </w:r>
    </w:p>
    <w:p w14:paraId="6F6FF2B3" w14:textId="77777777" w:rsidR="005108BC" w:rsidRPr="00B95156" w:rsidRDefault="005108BC" w:rsidP="005108BC">
      <w:pPr>
        <w:rPr>
          <w:rFonts w:asciiTheme="minorHAnsi" w:hAnsiTheme="minorHAnsi" w:cstheme="minorHAnsi"/>
          <w:bCs/>
          <w:color w:val="FF0000"/>
          <w:sz w:val="22"/>
        </w:rPr>
      </w:pPr>
    </w:p>
    <w:p w14:paraId="34BEA494" w14:textId="77777777" w:rsidR="005108BC" w:rsidRPr="00B95156" w:rsidRDefault="005108BC" w:rsidP="005108BC">
      <w:pPr>
        <w:rPr>
          <w:rFonts w:asciiTheme="minorHAnsi" w:hAnsiTheme="minorHAnsi" w:cstheme="minorHAnsi"/>
          <w:b/>
          <w:sz w:val="22"/>
        </w:rPr>
      </w:pPr>
      <w:r w:rsidRPr="00B95156">
        <w:rPr>
          <w:rFonts w:asciiTheme="minorHAnsi" w:hAnsiTheme="minorHAnsi" w:cstheme="minorHAnsi"/>
          <w:b/>
          <w:sz w:val="22"/>
        </w:rPr>
        <w:t>Health</w:t>
      </w:r>
    </w:p>
    <w:p w14:paraId="10BC9CCF" w14:textId="77777777" w:rsidR="005108BC" w:rsidRPr="00B95156" w:rsidRDefault="005108BC" w:rsidP="005108BC">
      <w:pPr>
        <w:rPr>
          <w:rFonts w:asciiTheme="minorHAnsi" w:hAnsiTheme="minorHAnsi" w:cstheme="minorHAnsi"/>
          <w:sz w:val="22"/>
        </w:rPr>
      </w:pPr>
      <w:r w:rsidRPr="00B95156">
        <w:rPr>
          <w:rFonts w:asciiTheme="minorHAnsi" w:hAnsiTheme="minorHAnsi" w:cstheme="minorHAns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ED858EA" w14:textId="77777777" w:rsidR="005108BC" w:rsidRPr="00B95156" w:rsidRDefault="005108BC" w:rsidP="005108BC">
      <w:pPr>
        <w:ind w:right="-766"/>
        <w:rPr>
          <w:rFonts w:asciiTheme="minorHAnsi" w:hAnsiTheme="minorHAnsi" w:cstheme="minorHAnsi"/>
          <w:b/>
          <w:bCs/>
          <w:sz w:val="22"/>
        </w:rPr>
      </w:pPr>
    </w:p>
    <w:p w14:paraId="0CDB170E" w14:textId="77777777" w:rsidR="005108BC" w:rsidRDefault="005108BC" w:rsidP="005108BC">
      <w:pPr>
        <w:ind w:right="-766"/>
        <w:rPr>
          <w:rFonts w:asciiTheme="minorHAnsi" w:hAnsiTheme="minorHAnsi" w:cstheme="minorHAnsi"/>
          <w:iCs/>
          <w:sz w:val="22"/>
        </w:rPr>
      </w:pPr>
      <w:r w:rsidRPr="00B95156">
        <w:rPr>
          <w:rFonts w:asciiTheme="minorHAnsi" w:hAnsiTheme="minorHAnsi" w:cstheme="minorHAnsi"/>
          <w:b/>
          <w:bCs/>
          <w:sz w:val="22"/>
        </w:rPr>
        <w:t>C</w:t>
      </w:r>
      <w:r>
        <w:rPr>
          <w:rFonts w:asciiTheme="minorHAnsi" w:hAnsiTheme="minorHAnsi" w:cstheme="minorHAnsi"/>
          <w:b/>
          <w:bCs/>
          <w:sz w:val="22"/>
        </w:rPr>
        <w:t>h</w:t>
      </w:r>
      <w:r w:rsidRPr="00B95156">
        <w:rPr>
          <w:rFonts w:asciiTheme="minorHAnsi" w:hAnsiTheme="minorHAnsi" w:cstheme="minorHAnsi"/>
          <w:b/>
          <w:bCs/>
          <w:sz w:val="22"/>
        </w:rPr>
        <w:t>aracter</w:t>
      </w:r>
    </w:p>
    <w:p w14:paraId="3CF360DF" w14:textId="26365156" w:rsidR="005108BC" w:rsidRPr="005108BC" w:rsidRDefault="005108BC" w:rsidP="005108BC">
      <w:pPr>
        <w:ind w:right="-766"/>
        <w:rPr>
          <w:rFonts w:asciiTheme="minorHAnsi" w:hAnsiTheme="minorHAnsi" w:cstheme="minorHAnsi"/>
          <w:iCs/>
          <w:sz w:val="22"/>
        </w:rPr>
      </w:pPr>
      <w:r w:rsidRPr="00B95156">
        <w:rPr>
          <w:rFonts w:asciiTheme="minorHAnsi" w:hAnsiTheme="minorHAnsi" w:cstheme="minorHAnsi"/>
          <w:sz w:val="22"/>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5108BC">
      <w:pPr>
        <w:spacing w:before="240" w:after="0" w:line="240" w:lineRule="auto"/>
        <w:ind w:left="360" w:firstLine="360"/>
        <w:jc w:val="center"/>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20C80823" w:rsidR="006F0040" w:rsidRDefault="006F0040" w:rsidP="006F0040">
      <w:pPr>
        <w:pStyle w:val="ListParagraph"/>
        <w:spacing w:before="240" w:after="120" w:line="240" w:lineRule="auto"/>
        <w:jc w:val="center"/>
        <w:rPr>
          <w:rFonts w:cs="Arial"/>
          <w:b/>
          <w:bCs/>
          <w:szCs w:val="20"/>
        </w:rPr>
      </w:pPr>
      <w:r w:rsidRPr="00A43B98">
        <w:rPr>
          <w:rFonts w:cs="Arial"/>
          <w:b/>
          <w:bCs/>
          <w:szCs w:val="20"/>
        </w:rPr>
        <w:t>O</w:t>
      </w:r>
      <w:r w:rsidR="005108BC">
        <w:rPr>
          <w:rFonts w:cs="Arial"/>
          <w:b/>
          <w:bCs/>
          <w:szCs w:val="20"/>
        </w:rPr>
        <w:t>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5108BC">
      <w:pPr>
        <w:spacing w:before="240" w:after="0" w:line="240" w:lineRule="auto"/>
        <w:ind w:firstLine="720"/>
        <w:jc w:val="center"/>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5108BC">
      <w:pPr>
        <w:spacing w:before="240" w:after="0" w:line="240" w:lineRule="auto"/>
        <w:ind w:firstLine="720"/>
        <w:jc w:val="center"/>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5108BC">
      <w:pPr>
        <w:pStyle w:val="ListParagraph"/>
        <w:spacing w:before="240" w:after="0" w:line="240" w:lineRule="auto"/>
        <w:ind w:left="0" w:firstLine="720"/>
        <w:jc w:val="center"/>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5108BC">
      <w:pPr>
        <w:spacing w:before="240" w:after="0" w:line="240" w:lineRule="auto"/>
        <w:ind w:firstLine="720"/>
        <w:jc w:val="center"/>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5108BC"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5108BC"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5108BC"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5108BC"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79BD8D10" w14:textId="77D989A8" w:rsidR="005108BC" w:rsidRDefault="005108BC" w:rsidP="006F0040">
      <w:pPr>
        <w:pStyle w:val="Heading2"/>
      </w:pPr>
      <w:bookmarkStart w:id="25" w:name="_Appendix:_5_Panel"/>
      <w:bookmarkStart w:id="26" w:name="_Toc188374546"/>
      <w:bookmarkEnd w:id="25"/>
    </w:p>
    <w:p w14:paraId="6F82F321" w14:textId="0DB637FF" w:rsidR="005108BC" w:rsidRDefault="005108BC" w:rsidP="005108BC"/>
    <w:p w14:paraId="228EE09E" w14:textId="77777777" w:rsidR="005108BC" w:rsidRPr="005108BC" w:rsidRDefault="005108BC" w:rsidP="005108BC"/>
    <w:p w14:paraId="05891266" w14:textId="50F8F436" w:rsidR="006F0040" w:rsidRDefault="006F0040" w:rsidP="006F0040">
      <w:pPr>
        <w:pStyle w:val="Heading2"/>
      </w:pPr>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F55F26" w:rsidRDefault="006F0040" w:rsidP="4F76AD4B">
      <w:pPr>
        <w:pStyle w:val="ListParagraph"/>
        <w:numPr>
          <w:ilvl w:val="0"/>
          <w:numId w:val="28"/>
        </w:numPr>
        <w:spacing w:before="240" w:after="120" w:line="240" w:lineRule="auto"/>
        <w:rPr>
          <w:rFonts w:eastAsia="Times New Roman" w:cs="Arial"/>
          <w:lang w:eastAsia="en-IE"/>
        </w:rPr>
      </w:pPr>
      <w:r w:rsidRPr="00F55F26">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F55F26" w:rsidRDefault="006F0040" w:rsidP="4F76AD4B">
      <w:pPr>
        <w:autoSpaceDE w:val="0"/>
        <w:autoSpaceDN w:val="0"/>
        <w:adjustRightInd w:val="0"/>
        <w:spacing w:before="240" w:after="120" w:line="240" w:lineRule="auto"/>
        <w:ind w:left="360"/>
        <w:rPr>
          <w:rFonts w:eastAsia="Times New Roman" w:cs="Arial"/>
          <w:b/>
          <w:bCs/>
          <w:lang w:eastAsia="en-IE"/>
        </w:rPr>
      </w:pPr>
      <w:r w:rsidRPr="00F55F26">
        <w:rPr>
          <w:rFonts w:eastAsia="Times New Roman" w:cs="Arial"/>
          <w:b/>
          <w:bCs/>
          <w:lang w:eastAsia="en-IE"/>
        </w:rPr>
        <w:t>If you agree to proceed with a Specified Purpose Post:</w:t>
      </w:r>
    </w:p>
    <w:p w14:paraId="071DCD14" w14:textId="29D7559B" w:rsidR="006F0040" w:rsidRPr="00F55F26"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F55F26">
        <w:rPr>
          <w:rFonts w:cs="Arial"/>
          <w:kern w:val="32"/>
        </w:rPr>
        <w:t>You will no longer be eligible for any further expressions of interest for Specified Purpose post and will be removed from the panel.</w:t>
      </w:r>
    </w:p>
    <w:p w14:paraId="1D513975" w14:textId="77777777" w:rsidR="006F0040" w:rsidRPr="00F55F26"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F55F26">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5108BC"/>
    <w:rsid w:val="006F0040"/>
    <w:rsid w:val="00A21349"/>
    <w:rsid w:val="00BE78EC"/>
    <w:rsid w:val="00F55F26"/>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55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5979</Words>
  <Characters>34082</Characters>
  <Application>Microsoft Office Word</Application>
  <DocSecurity>0</DocSecurity>
  <Lines>284</Lines>
  <Paragraphs>79</Paragraphs>
  <ScaleCrop>false</ScaleCrop>
  <Company>HSE</Company>
  <LinksUpToDate>false</LinksUpToDate>
  <CharactersWithSpaces>39982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9</cp:revision>
  <dcterms:created xsi:type="dcterms:W3CDTF">2025-07-01T13:46:00Z</dcterms:created>
  <dcterms:modified xsi:type="dcterms:W3CDTF">2026-06-18T10:53:00Z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