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4FF386BC" w14:textId="77777777" w:rsidR="00054744" w:rsidRPr="00054744" w:rsidRDefault="006F0040" w:rsidP="00054744">
      <w:pPr>
        <w:widowControl w:val="0"/>
        <w:autoSpaceDE w:val="0"/>
        <w:autoSpaceDN w:val="0"/>
        <w:adjustRightInd w:val="0"/>
        <w:spacing w:before="240" w:after="0" w:line="240" w:lineRule="auto"/>
        <w:jc w:val="center"/>
        <w:rPr>
          <w:rFonts w:eastAsia="Times New Roman" w:cs="Arial"/>
          <w:b/>
          <w:bCs/>
          <w:iCs/>
          <w:sz w:val="24"/>
          <w:szCs w:val="24"/>
          <w:lang w:val="en-GB" w:eastAsia="en-IE"/>
        </w:rPr>
      </w:pPr>
      <w:r w:rsidRPr="69F386EC">
        <w:rPr>
          <w:rFonts w:eastAsia="Times New Roman" w:cs="Arial"/>
          <w:b/>
          <w:bCs/>
          <w:sz w:val="24"/>
          <w:szCs w:val="24"/>
          <w:lang w:eastAsia="en-IE"/>
        </w:rPr>
        <w:t xml:space="preserve">Recruitment reference no: </w:t>
      </w:r>
      <w:bookmarkStart w:id="0" w:name="_Hlk215130512"/>
      <w:r w:rsidR="00054744" w:rsidRPr="00054744">
        <w:rPr>
          <w:rFonts w:eastAsia="Times New Roman" w:cs="Arial"/>
          <w:b/>
          <w:bCs/>
          <w:iCs/>
          <w:sz w:val="24"/>
          <w:szCs w:val="24"/>
          <w:lang w:val="en-GB" w:eastAsia="en-IE"/>
        </w:rPr>
        <w:t>Domestic Porter MPUH (Supplementary Campaign)</w:t>
      </w:r>
      <w:bookmarkEnd w:id="0"/>
    </w:p>
    <w:p w14:paraId="6BB259D8" w14:textId="7F852977" w:rsidR="006F0040" w:rsidRPr="00054744" w:rsidRDefault="00054744" w:rsidP="00054744">
      <w:pPr>
        <w:widowControl w:val="0"/>
        <w:autoSpaceDE w:val="0"/>
        <w:autoSpaceDN w:val="0"/>
        <w:adjustRightInd w:val="0"/>
        <w:spacing w:before="240" w:after="0" w:line="240" w:lineRule="auto"/>
        <w:jc w:val="center"/>
        <w:rPr>
          <w:rFonts w:eastAsia="Times New Roman" w:cs="Arial"/>
          <w:b/>
          <w:bCs/>
          <w:sz w:val="24"/>
          <w:szCs w:val="24"/>
          <w:lang w:eastAsia="en-IE"/>
        </w:rPr>
      </w:pPr>
      <w:r w:rsidRPr="00054744">
        <w:rPr>
          <w:rFonts w:eastAsia="Times New Roman" w:cs="Arial"/>
          <w:b/>
          <w:bCs/>
          <w:sz w:val="24"/>
          <w:szCs w:val="24"/>
          <w:lang w:eastAsia="en-IE"/>
        </w:rPr>
        <w:t>Merlin Park university Hospital</w:t>
      </w:r>
    </w:p>
    <w:p w14:paraId="342D91CE" w14:textId="0E902859" w:rsidR="006F0040" w:rsidRPr="00054744"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054744">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514071AF"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0" w:history="1">
        <w:r w:rsidR="00054744" w:rsidRPr="00B94D29">
          <w:rPr>
            <w:rStyle w:val="Hyperlink"/>
            <w:rFonts w:ascii="Arial" w:eastAsia="Times New Roman" w:hAnsi="Arial" w:cs="Arial"/>
            <w:sz w:val="20"/>
            <w:szCs w:val="20"/>
          </w:rPr>
          <w:t>recruit.guh@hse.ie</w:t>
        </w:r>
      </w:hyperlink>
      <w:r w:rsidR="00054744">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956327"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956327"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956327"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956327"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956327"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956327"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956327"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956327"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956327"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956327"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956327"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956327"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956327"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956327"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956327"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956327"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956327"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956327"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956327"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956327"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956327"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956327"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4"/>
      <w:r w:rsidRPr="002E719E">
        <w:rPr>
          <w:rFonts w:eastAsia="Times New Roman" w:cs="Arial"/>
          <w:szCs w:val="20"/>
          <w:lang w:val="en-US"/>
        </w:rPr>
        <w:t>Who should apply</w:t>
      </w:r>
      <w:r>
        <w:rPr>
          <w:rFonts w:eastAsia="Times New Roman" w:cs="Arial"/>
          <w:szCs w:val="20"/>
          <w:lang w:val="en-US"/>
        </w:rPr>
        <w:t>?</w:t>
      </w:r>
      <w:bookmarkEnd w:id="1"/>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2"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2"/>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1F504632" w14:textId="714A188F" w:rsidR="006F0040" w:rsidRPr="002A6275" w:rsidRDefault="006F0040" w:rsidP="002A6275">
      <w:pPr>
        <w:pStyle w:val="Heading1"/>
        <w:shd w:val="clear" w:color="auto" w:fill="E2EAE7"/>
        <w:spacing w:line="240" w:lineRule="auto"/>
        <w:rPr>
          <w:rFonts w:cs="Arial"/>
          <w:szCs w:val="20"/>
        </w:rPr>
      </w:pPr>
      <w:bookmarkStart w:id="3" w:name="_Toc188374526"/>
      <w:r w:rsidRPr="00186DF2">
        <w:rPr>
          <w:rStyle w:val="Strong"/>
          <w:rFonts w:cs="Arial"/>
          <w:szCs w:val="20"/>
        </w:rPr>
        <w:t>Candidates on existing panels</w:t>
      </w:r>
      <w:bookmarkEnd w:id="3"/>
    </w:p>
    <w:p w14:paraId="65A1BDC2" w14:textId="0262AC0D" w:rsidR="006F0040" w:rsidRPr="002A6275" w:rsidRDefault="006F0040" w:rsidP="006F0040">
      <w:pPr>
        <w:shd w:val="clear" w:color="auto" w:fill="FFFFFF"/>
        <w:spacing w:before="240" w:after="120" w:line="240" w:lineRule="auto"/>
        <w:rPr>
          <w:rFonts w:cs="Arial"/>
          <w:szCs w:val="20"/>
        </w:rPr>
      </w:pPr>
      <w:r w:rsidRPr="002A6275">
        <w:rPr>
          <w:rFonts w:cs="Arial"/>
          <w:szCs w:val="20"/>
        </w:rPr>
        <w:t xml:space="preserve">If you are currently on a </w:t>
      </w:r>
      <w:r w:rsidRPr="002A6275">
        <w:rPr>
          <w:rFonts w:cs="Arial"/>
          <w:b/>
          <w:szCs w:val="20"/>
        </w:rPr>
        <w:t>Local</w:t>
      </w:r>
      <w:r w:rsidR="002A6275" w:rsidRPr="002A6275">
        <w:rPr>
          <w:rFonts w:cs="Arial"/>
          <w:szCs w:val="20"/>
        </w:rPr>
        <w:t xml:space="preserve"> </w:t>
      </w:r>
      <w:r w:rsidRPr="002A6275">
        <w:rPr>
          <w:rFonts w:cs="Arial"/>
          <w:szCs w:val="20"/>
        </w:rPr>
        <w:t>Panel for</w:t>
      </w:r>
      <w:r w:rsidR="002A6275" w:rsidRPr="002A6275">
        <w:rPr>
          <w:rFonts w:eastAsia="Times New Roman" w:cs="Arial"/>
          <w:b/>
          <w:bCs/>
          <w:iCs/>
          <w:sz w:val="24"/>
          <w:szCs w:val="24"/>
          <w:lang w:val="en-GB" w:eastAsia="en-IE"/>
        </w:rPr>
        <w:t xml:space="preserve"> </w:t>
      </w:r>
      <w:r w:rsidR="002A6275" w:rsidRPr="002A6275">
        <w:rPr>
          <w:rFonts w:cs="Arial"/>
          <w:b/>
          <w:bCs/>
          <w:iCs/>
          <w:szCs w:val="20"/>
          <w:lang w:val="en-GB"/>
        </w:rPr>
        <w:t>Domestic Porter MPUH (Supplementary Campaign)</w:t>
      </w:r>
      <w:r w:rsidRPr="002A6275">
        <w:rPr>
          <w:rFonts w:cs="Arial"/>
          <w:szCs w:val="20"/>
        </w:rPr>
        <w:t xml:space="preserve"> you will have received a separate communication by email.  This communication will advise whether the panel you are on is due to expire. </w:t>
      </w:r>
    </w:p>
    <w:p w14:paraId="08F9B444" w14:textId="1A84A4DF" w:rsidR="006F0040" w:rsidRPr="002A6275" w:rsidRDefault="006F0040" w:rsidP="006F0040">
      <w:pPr>
        <w:shd w:val="clear" w:color="auto" w:fill="FFFFFF"/>
        <w:spacing w:before="240" w:after="120" w:line="240" w:lineRule="auto"/>
        <w:rPr>
          <w:rFonts w:cs="Arial"/>
          <w:szCs w:val="20"/>
        </w:rPr>
      </w:pPr>
      <w:r w:rsidRPr="002A6275">
        <w:rPr>
          <w:rFonts w:cs="Arial"/>
          <w:szCs w:val="20"/>
        </w:rPr>
        <w:t xml:space="preserve">If you are not currently on a Panel for </w:t>
      </w:r>
      <w:r w:rsidR="002A6275" w:rsidRPr="002A6275">
        <w:rPr>
          <w:rFonts w:cs="Arial"/>
          <w:b/>
          <w:bCs/>
          <w:iCs/>
          <w:szCs w:val="20"/>
          <w:lang w:val="en-GB"/>
        </w:rPr>
        <w:t>Domestic Porter MPUH (Supplementary Campaign)</w:t>
      </w:r>
      <w:r w:rsidRPr="002A6275">
        <w:rPr>
          <w:rFonts w:cs="Arial"/>
          <w:szCs w:val="20"/>
        </w:rPr>
        <w:t>the below information is not relevant or applicable to you.</w:t>
      </w:r>
    </w:p>
    <w:p w14:paraId="6E8540AF" w14:textId="71DB6BFF" w:rsidR="006F0040" w:rsidRPr="002A6275" w:rsidRDefault="006F0040" w:rsidP="006F0040">
      <w:pPr>
        <w:shd w:val="clear" w:color="auto" w:fill="FFFFFF"/>
        <w:spacing w:before="240" w:after="120" w:line="240" w:lineRule="auto"/>
        <w:rPr>
          <w:rFonts w:cs="Arial"/>
          <w:szCs w:val="20"/>
        </w:rPr>
      </w:pPr>
      <w:r w:rsidRPr="002A6275">
        <w:rPr>
          <w:rFonts w:cs="Arial"/>
          <w:szCs w:val="20"/>
        </w:rPr>
        <w:t xml:space="preserve">If the panel you are on is due to expire, and you want to be considered for future </w:t>
      </w:r>
      <w:r w:rsidR="002A6275" w:rsidRPr="002A6275">
        <w:rPr>
          <w:rFonts w:cs="Arial"/>
          <w:b/>
          <w:bCs/>
          <w:iCs/>
          <w:szCs w:val="20"/>
          <w:lang w:val="en-GB"/>
        </w:rPr>
        <w:t xml:space="preserve">Domestic Porter MPUH (Supplementary Campaign) </w:t>
      </w:r>
      <w:r w:rsidRPr="002A6275">
        <w:rPr>
          <w:rFonts w:cs="Arial"/>
          <w:szCs w:val="20"/>
        </w:rPr>
        <w:t>opportunities, you can apply for this new supplementary campaign.</w:t>
      </w:r>
    </w:p>
    <w:p w14:paraId="090F6B52" w14:textId="77777777" w:rsidR="006F0040" w:rsidRPr="002A6275" w:rsidRDefault="006F0040" w:rsidP="006F0040">
      <w:pPr>
        <w:shd w:val="clear" w:color="auto" w:fill="FFFFFF"/>
        <w:spacing w:before="240" w:after="120" w:line="240" w:lineRule="auto"/>
        <w:rPr>
          <w:rFonts w:cs="Arial"/>
          <w:szCs w:val="20"/>
        </w:rPr>
      </w:pPr>
      <w:r w:rsidRPr="002A6275">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24988AB0" w:rsidR="006F0040" w:rsidRPr="002A6275" w:rsidRDefault="006F0040" w:rsidP="006F0040">
      <w:pPr>
        <w:shd w:val="clear" w:color="auto" w:fill="FFFFFF"/>
        <w:spacing w:before="240" w:after="120" w:line="240" w:lineRule="auto"/>
        <w:rPr>
          <w:rFonts w:cs="Arial"/>
          <w:szCs w:val="20"/>
        </w:rPr>
      </w:pPr>
      <w:r w:rsidRPr="002A6275">
        <w:rPr>
          <w:rFonts w:cs="Arial"/>
          <w:szCs w:val="20"/>
        </w:rPr>
        <w:t xml:space="preserve">If the panel you are on is due to remain and you wish to apply for the new supplementary campaign (Insert Recruitment Reference no.), you can choose to remove yourself from the existing panel and re-apply for the new campaign. To remove yourself from the existing panel, email your request to </w:t>
      </w:r>
      <w:r w:rsidR="002A6275" w:rsidRPr="002A6275">
        <w:rPr>
          <w:rFonts w:cs="Arial"/>
          <w:szCs w:val="20"/>
        </w:rPr>
        <w:t>recruit.guh@hse.ie</w:t>
      </w:r>
      <w:r w:rsidRPr="002A6275">
        <w:rPr>
          <w:rFonts w:cs="Arial"/>
          <w:szCs w:val="20"/>
        </w:rPr>
        <w:t xml:space="preserve"> before the closing date of the supplementary campaign </w:t>
      </w:r>
      <w:r w:rsidR="002A6275" w:rsidRPr="002A6275">
        <w:rPr>
          <w:rFonts w:cs="Arial"/>
          <w:szCs w:val="20"/>
        </w:rPr>
        <w:t xml:space="preserve">10am </w:t>
      </w:r>
      <w:r w:rsidR="00956327">
        <w:rPr>
          <w:rFonts w:cs="Arial"/>
          <w:szCs w:val="20"/>
        </w:rPr>
        <w:t>Tuesday the 7</w:t>
      </w:r>
      <w:r w:rsidR="00956327" w:rsidRPr="00956327">
        <w:rPr>
          <w:rFonts w:cs="Arial"/>
          <w:szCs w:val="20"/>
          <w:vertAlign w:val="superscript"/>
        </w:rPr>
        <w:t>th</w:t>
      </w:r>
      <w:r w:rsidR="00956327">
        <w:rPr>
          <w:rFonts w:cs="Arial"/>
          <w:szCs w:val="20"/>
        </w:rPr>
        <w:t xml:space="preserve"> of July 2026.</w:t>
      </w:r>
    </w:p>
    <w:p w14:paraId="7B4BFFF6" w14:textId="77777777" w:rsidR="006F0040" w:rsidRPr="002A6275" w:rsidRDefault="006F0040" w:rsidP="006F0040">
      <w:pPr>
        <w:shd w:val="clear" w:color="auto" w:fill="FFFFFF"/>
        <w:spacing w:before="240" w:after="120" w:line="240" w:lineRule="auto"/>
      </w:pPr>
      <w:r w:rsidRPr="002A6275">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4" w:name="_Toc188374527"/>
      <w:r w:rsidRPr="3CD97C2E">
        <w:rPr>
          <w:rStyle w:val="Strong"/>
          <w:rFonts w:cs="Arial"/>
        </w:rPr>
        <w:t>How we will manage the selection process.</w:t>
      </w:r>
      <w:bookmarkEnd w:id="4"/>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lastRenderedPageBreak/>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5" w:name="_Toc188374528"/>
      <w:r w:rsidRPr="002E719E">
        <w:rPr>
          <w:rFonts w:cs="Arial"/>
          <w:szCs w:val="20"/>
        </w:rPr>
        <w:t>Candidate Supports</w:t>
      </w:r>
      <w:bookmarkEnd w:id="5"/>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956327"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956327"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956327"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6" w:name="_Toc188374529"/>
      <w:r w:rsidRPr="00583D05">
        <w:t xml:space="preserve">Reasonable Accommodations </w:t>
      </w:r>
      <w:r>
        <w:t>R</w:t>
      </w:r>
      <w:r w:rsidRPr="00583D05">
        <w:t>equests</w:t>
      </w:r>
      <w:r>
        <w:t xml:space="preserve"> for Candidates with Disabilities</w:t>
      </w:r>
      <w:bookmarkEnd w:id="6"/>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7" w:name="_Toc188374530"/>
      <w:r w:rsidRPr="002E719E">
        <w:rPr>
          <w:rFonts w:cs="Arial"/>
          <w:szCs w:val="20"/>
        </w:rPr>
        <w:t>Interview Notes</w:t>
      </w:r>
      <w:bookmarkEnd w:id="7"/>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8" w:name="_Toc188374531"/>
      <w:r w:rsidRPr="008D08AE">
        <w:rPr>
          <w:rFonts w:cs="Arial"/>
          <w:szCs w:val="20"/>
        </w:rPr>
        <w:lastRenderedPageBreak/>
        <w:t>Formation of Panels</w:t>
      </w:r>
      <w:bookmarkEnd w:id="8"/>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9" w:name="_Toc188374533"/>
      <w:r w:rsidRPr="0037769B">
        <w:t>Marking System</w:t>
      </w:r>
      <w:bookmarkEnd w:id="9"/>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10" w:name="_Toc188374534"/>
      <w:r w:rsidRPr="002E719E">
        <w:t>Future panels</w:t>
      </w:r>
      <w:bookmarkEnd w:id="10"/>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5"/>
      <w:r w:rsidRPr="002E719E">
        <w:rPr>
          <w:rFonts w:eastAsia="Times New Roman" w:cs="Arial"/>
          <w:szCs w:val="20"/>
          <w:lang w:val="en-US"/>
        </w:rPr>
        <w:t>Acceptance / Declination of a Recommendation to Proceed</w:t>
      </w:r>
      <w:bookmarkEnd w:id="11"/>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6"/>
      <w:r w:rsidRPr="002E719E">
        <w:rPr>
          <w:rFonts w:eastAsia="Times New Roman" w:cs="Arial"/>
          <w:szCs w:val="20"/>
          <w:lang w:val="en-US"/>
        </w:rPr>
        <w:lastRenderedPageBreak/>
        <w:t>Recruitment Process Time Scales</w:t>
      </w:r>
      <w:bookmarkEnd w:id="12"/>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3" w:name="_Toc188374537"/>
      <w:r w:rsidRPr="002E719E">
        <w:rPr>
          <w:rFonts w:eastAsia="Times New Roman" w:cs="Arial"/>
          <w:szCs w:val="20"/>
          <w:lang w:val="en-US"/>
        </w:rPr>
        <w:t>Security Clearance</w:t>
      </w:r>
      <w:bookmarkEnd w:id="13"/>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4" w:name="_Toc188374538"/>
      <w:r>
        <w:rPr>
          <w:rFonts w:cs="Arial"/>
          <w:szCs w:val="20"/>
        </w:rPr>
        <w:t>Review and Complaint</w:t>
      </w:r>
      <w:r w:rsidRPr="002E719E">
        <w:rPr>
          <w:rFonts w:cs="Arial"/>
          <w:szCs w:val="20"/>
        </w:rPr>
        <w:t xml:space="preserve"> Procedure (CPSA)</w:t>
      </w:r>
      <w:bookmarkEnd w:id="14"/>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5" w:name="_Toc188374539"/>
      <w:r w:rsidRPr="3CD97C2E">
        <w:rPr>
          <w:rFonts w:cs="Arial"/>
        </w:rPr>
        <w:t>HSE Privacy Policy</w:t>
      </w:r>
      <w:bookmarkEnd w:id="15"/>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6" w:name="_Toc188374540"/>
      <w:r w:rsidRPr="002E719E">
        <w:t>Superannuation / Pension Information</w:t>
      </w:r>
      <w:bookmarkEnd w:id="16"/>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7"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7"/>
      <w:r w:rsidRPr="002E719E">
        <w:rPr>
          <w:rFonts w:cs="Arial"/>
          <w:szCs w:val="20"/>
        </w:rPr>
        <w:t xml:space="preserve"> </w:t>
      </w:r>
    </w:p>
    <w:p w14:paraId="3FF88A55" w14:textId="77777777" w:rsidR="006F0040" w:rsidRPr="00BD636C" w:rsidRDefault="006F0040" w:rsidP="006F0040">
      <w:pPr>
        <w:pStyle w:val="Heading2"/>
      </w:pPr>
      <w:bookmarkStart w:id="18" w:name="_Appendix_1:_Eligibility"/>
      <w:bookmarkStart w:id="19" w:name="_Toc188374542"/>
      <w:bookmarkEnd w:id="18"/>
      <w:r w:rsidRPr="00BD636C">
        <w:t>Appendix 1: Eligibility Criteria</w:t>
      </w:r>
      <w:bookmarkEnd w:id="19"/>
    </w:p>
    <w:p w14:paraId="3CDFB1D3" w14:textId="27E2A0EA" w:rsidR="006F0040" w:rsidRDefault="006F0040" w:rsidP="006F0040">
      <w:pPr>
        <w:spacing w:before="240" w:after="120" w:line="240" w:lineRule="auto"/>
        <w:rPr>
          <w:rFonts w:cs="Arial"/>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3C4403BB" w14:textId="184FE4CB" w:rsidR="002A6275" w:rsidRDefault="002A6275" w:rsidP="006F0040">
      <w:pPr>
        <w:spacing w:before="240" w:after="120" w:line="240" w:lineRule="auto"/>
        <w:rPr>
          <w:rFonts w:cs="Arial"/>
          <w:szCs w:val="20"/>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8"/>
      </w:tblGrid>
      <w:tr w:rsidR="002A6275" w:rsidRPr="003744CB" w14:paraId="7FADE8BD" w14:textId="77777777" w:rsidTr="00FD3D57">
        <w:tc>
          <w:tcPr>
            <w:tcW w:w="8394" w:type="dxa"/>
          </w:tcPr>
          <w:p w14:paraId="56F6AC9E" w14:textId="77777777" w:rsidR="002A6275" w:rsidRPr="003744CB" w:rsidRDefault="002A6275" w:rsidP="00FD3D57">
            <w:pPr>
              <w:pStyle w:val="Default"/>
              <w:rPr>
                <w:rFonts w:ascii="Calibri" w:hAnsi="Calibri" w:cs="Calibri"/>
                <w:sz w:val="22"/>
                <w:szCs w:val="22"/>
                <w:lang w:val="en-US"/>
              </w:rPr>
            </w:pPr>
            <w:bookmarkStart w:id="20" w:name="_Hlk35949031"/>
            <w:r w:rsidRPr="003744CB">
              <w:rPr>
                <w:rFonts w:ascii="Calibri" w:hAnsi="Calibri" w:cs="Calibri"/>
                <w:sz w:val="22"/>
                <w:szCs w:val="22"/>
                <w:lang w:val="en-US"/>
              </w:rPr>
              <w:t>Candidates must on the closing date</w:t>
            </w:r>
          </w:p>
          <w:p w14:paraId="50490842" w14:textId="77777777" w:rsidR="002A6275" w:rsidRPr="003744CB" w:rsidRDefault="002A6275" w:rsidP="00FD3D57">
            <w:pPr>
              <w:pStyle w:val="Default"/>
              <w:rPr>
                <w:rFonts w:ascii="Calibri" w:hAnsi="Calibri" w:cs="Calibri"/>
                <w:sz w:val="22"/>
                <w:szCs w:val="22"/>
                <w:lang w:val="en-US"/>
              </w:rPr>
            </w:pPr>
          </w:p>
          <w:p w14:paraId="1CCEA42B" w14:textId="77777777" w:rsidR="002A6275" w:rsidRPr="003744CB" w:rsidRDefault="002A6275" w:rsidP="002A6275">
            <w:pPr>
              <w:pStyle w:val="ListParagraph"/>
              <w:numPr>
                <w:ilvl w:val="0"/>
                <w:numId w:val="40"/>
              </w:numPr>
              <w:suppressAutoHyphens/>
              <w:spacing w:after="0" w:line="240" w:lineRule="auto"/>
              <w:rPr>
                <w:rFonts w:ascii="Calibri" w:hAnsi="Calibri" w:cs="Calibri"/>
                <w:sz w:val="22"/>
                <w:lang w:val="en-US"/>
              </w:rPr>
            </w:pPr>
            <w:r w:rsidRPr="003744CB">
              <w:rPr>
                <w:rFonts w:ascii="Calibri" w:hAnsi="Calibri" w:cs="Calibri"/>
                <w:sz w:val="22"/>
                <w:lang w:val="en-US"/>
              </w:rPr>
              <w:t xml:space="preserve">Have </w:t>
            </w:r>
            <w:r w:rsidRPr="003744CB">
              <w:rPr>
                <w:rFonts w:ascii="Calibri" w:hAnsi="Calibri" w:cs="Calibri"/>
                <w:sz w:val="22"/>
              </w:rPr>
              <w:t>2</w:t>
            </w:r>
            <w:r w:rsidRPr="003744CB">
              <w:rPr>
                <w:rFonts w:ascii="Calibri" w:hAnsi="Calibri" w:cs="Calibri"/>
                <w:sz w:val="22"/>
                <w:vertAlign w:val="superscript"/>
              </w:rPr>
              <w:t>nd</w:t>
            </w:r>
            <w:r w:rsidRPr="003744CB">
              <w:rPr>
                <w:rFonts w:ascii="Calibri" w:hAnsi="Calibri" w:cs="Calibri"/>
                <w:sz w:val="22"/>
              </w:rPr>
              <w:t xml:space="preserve"> level education to Junior Certificate Level at a minimum, which includes pass in 5 subjects. </w:t>
            </w:r>
          </w:p>
          <w:p w14:paraId="3E7CD771" w14:textId="77777777" w:rsidR="002A6275" w:rsidRPr="003744CB" w:rsidRDefault="002A6275" w:rsidP="00FD3D57">
            <w:pPr>
              <w:jc w:val="center"/>
              <w:rPr>
                <w:rFonts w:ascii="Calibri" w:hAnsi="Calibri" w:cs="Calibri"/>
                <w:b/>
                <w:bCs/>
                <w:iCs/>
                <w:color w:val="000000"/>
                <w:sz w:val="22"/>
              </w:rPr>
            </w:pPr>
            <w:r w:rsidRPr="003744CB">
              <w:rPr>
                <w:rFonts w:ascii="Calibri" w:hAnsi="Calibri" w:cs="Calibri"/>
                <w:b/>
                <w:bCs/>
                <w:iCs/>
                <w:color w:val="000000"/>
                <w:sz w:val="22"/>
              </w:rPr>
              <w:t>Or</w:t>
            </w:r>
          </w:p>
          <w:p w14:paraId="5661F160" w14:textId="77777777" w:rsidR="002A6275" w:rsidRPr="003744CB" w:rsidRDefault="002A6275" w:rsidP="002A6275">
            <w:pPr>
              <w:pStyle w:val="ListParagraph"/>
              <w:numPr>
                <w:ilvl w:val="0"/>
                <w:numId w:val="40"/>
              </w:numPr>
              <w:suppressAutoHyphens/>
              <w:spacing w:after="0" w:line="240" w:lineRule="auto"/>
              <w:rPr>
                <w:rFonts w:ascii="Calibri" w:hAnsi="Calibri" w:cs="Calibri"/>
                <w:sz w:val="22"/>
              </w:rPr>
            </w:pPr>
            <w:r w:rsidRPr="003744CB">
              <w:rPr>
                <w:rFonts w:ascii="Calibri" w:hAnsi="Calibri" w:cs="Calibri"/>
                <w:sz w:val="22"/>
              </w:rPr>
              <w:t xml:space="preserve">Have completed a relevant examination at a comparable standard in any equivalent examination in another jurisdiction </w:t>
            </w:r>
          </w:p>
          <w:p w14:paraId="0675DC3A" w14:textId="77777777" w:rsidR="002A6275" w:rsidRPr="003744CB" w:rsidRDefault="002A6275" w:rsidP="00FD3D57">
            <w:pPr>
              <w:jc w:val="center"/>
              <w:rPr>
                <w:rFonts w:ascii="Calibri" w:hAnsi="Calibri" w:cs="Calibri"/>
                <w:b/>
                <w:bCs/>
                <w:iCs/>
                <w:color w:val="000000"/>
                <w:sz w:val="22"/>
              </w:rPr>
            </w:pPr>
            <w:r w:rsidRPr="003744CB">
              <w:rPr>
                <w:rFonts w:ascii="Calibri" w:hAnsi="Calibri" w:cs="Calibri"/>
                <w:b/>
                <w:bCs/>
                <w:iCs/>
                <w:color w:val="000000"/>
                <w:sz w:val="22"/>
              </w:rPr>
              <w:t>And</w:t>
            </w:r>
          </w:p>
          <w:p w14:paraId="728E4335" w14:textId="77777777" w:rsidR="002A6275" w:rsidRPr="003744CB" w:rsidRDefault="002A6275" w:rsidP="002A6275">
            <w:pPr>
              <w:pStyle w:val="ListParagraph"/>
              <w:numPr>
                <w:ilvl w:val="0"/>
                <w:numId w:val="39"/>
              </w:numPr>
              <w:spacing w:after="0" w:line="240" w:lineRule="auto"/>
              <w:contextualSpacing w:val="0"/>
              <w:rPr>
                <w:rFonts w:ascii="Calibri" w:hAnsi="Calibri" w:cs="Calibri"/>
                <w:sz w:val="22"/>
              </w:rPr>
            </w:pPr>
            <w:r w:rsidRPr="003744CB">
              <w:rPr>
                <w:rFonts w:ascii="Calibri" w:hAnsi="Calibri" w:cs="Calibri"/>
                <w:sz w:val="22"/>
              </w:rPr>
              <w:t>Have 1 year continuous relevant employment in a household/ catering environment in a healthcare setting i.e. Hospital/ Nursing Home/ Day Care Facility or in the hospitality sector within the last 3 years</w:t>
            </w:r>
          </w:p>
          <w:p w14:paraId="56B5338D" w14:textId="77777777" w:rsidR="002A6275" w:rsidRPr="003744CB" w:rsidRDefault="002A6275" w:rsidP="00FD3D57">
            <w:pPr>
              <w:jc w:val="center"/>
              <w:rPr>
                <w:rFonts w:ascii="Calibri" w:hAnsi="Calibri" w:cs="Calibri"/>
                <w:b/>
                <w:bCs/>
                <w:iCs/>
                <w:color w:val="000000"/>
                <w:sz w:val="22"/>
              </w:rPr>
            </w:pPr>
            <w:r w:rsidRPr="003744CB">
              <w:rPr>
                <w:rFonts w:ascii="Calibri" w:hAnsi="Calibri" w:cs="Calibri"/>
                <w:b/>
                <w:bCs/>
                <w:iCs/>
                <w:color w:val="000000"/>
                <w:sz w:val="22"/>
              </w:rPr>
              <w:t>And</w:t>
            </w:r>
          </w:p>
          <w:p w14:paraId="00878643" w14:textId="77777777" w:rsidR="002A6275" w:rsidRPr="003744CB" w:rsidRDefault="002A6275" w:rsidP="002A6275">
            <w:pPr>
              <w:pStyle w:val="ListParagraph"/>
              <w:numPr>
                <w:ilvl w:val="0"/>
                <w:numId w:val="40"/>
              </w:numPr>
              <w:spacing w:after="0" w:line="240" w:lineRule="auto"/>
              <w:rPr>
                <w:rFonts w:ascii="Calibri" w:hAnsi="Calibri" w:cs="Calibri"/>
                <w:b/>
                <w:bCs/>
                <w:iCs/>
                <w:color w:val="000000"/>
                <w:sz w:val="22"/>
              </w:rPr>
            </w:pPr>
            <w:r w:rsidRPr="003744CB">
              <w:rPr>
                <w:rFonts w:ascii="Calibri" w:hAnsi="Calibri" w:cs="Calibri"/>
                <w:bCs/>
                <w:iCs/>
                <w:color w:val="000000"/>
                <w:sz w:val="22"/>
              </w:rPr>
              <w:t xml:space="preserve">Possess a competent level of spoken and written English to compile HACCP/HIQA documents. </w:t>
            </w:r>
          </w:p>
          <w:bookmarkEnd w:id="20"/>
          <w:p w14:paraId="6A366A3D" w14:textId="77777777" w:rsidR="002A6275" w:rsidRPr="003744CB" w:rsidRDefault="002A6275" w:rsidP="00FD3D57">
            <w:pPr>
              <w:pStyle w:val="ListParagraph"/>
              <w:ind w:left="360"/>
              <w:contextualSpacing w:val="0"/>
              <w:jc w:val="center"/>
              <w:rPr>
                <w:rFonts w:ascii="Calibri" w:hAnsi="Calibri" w:cs="Calibri"/>
                <w:sz w:val="22"/>
              </w:rPr>
            </w:pPr>
          </w:p>
          <w:p w14:paraId="4496A551" w14:textId="77777777" w:rsidR="002A6275" w:rsidRPr="003744CB" w:rsidRDefault="002A6275" w:rsidP="00FD3D57">
            <w:pPr>
              <w:pStyle w:val="Default"/>
              <w:rPr>
                <w:rFonts w:ascii="Calibri" w:hAnsi="Calibri" w:cs="Calibri"/>
                <w:sz w:val="22"/>
                <w:szCs w:val="22"/>
              </w:rPr>
            </w:pPr>
            <w:r w:rsidRPr="003744CB">
              <w:rPr>
                <w:rFonts w:ascii="Calibri" w:hAnsi="Calibri" w:cs="Calibri"/>
                <w:sz w:val="22"/>
                <w:szCs w:val="22"/>
              </w:rPr>
              <w:t xml:space="preserve">      </w:t>
            </w:r>
          </w:p>
          <w:p w14:paraId="6250DCBB" w14:textId="77777777" w:rsidR="002A6275" w:rsidRPr="003744CB" w:rsidRDefault="002A6275" w:rsidP="00FD3D57">
            <w:pPr>
              <w:rPr>
                <w:rFonts w:ascii="Calibri" w:hAnsi="Calibri" w:cs="Calibri"/>
                <w:b/>
                <w:sz w:val="22"/>
              </w:rPr>
            </w:pPr>
            <w:r w:rsidRPr="003744CB">
              <w:rPr>
                <w:rFonts w:ascii="Calibri" w:hAnsi="Calibri" w:cs="Calibri"/>
                <w:b/>
                <w:sz w:val="22"/>
              </w:rPr>
              <w:t>Health</w:t>
            </w:r>
          </w:p>
          <w:p w14:paraId="5330D6A3" w14:textId="77777777" w:rsidR="002A6275" w:rsidRPr="003744CB" w:rsidRDefault="002A6275" w:rsidP="00FD3D57">
            <w:pPr>
              <w:rPr>
                <w:rFonts w:ascii="Calibri" w:hAnsi="Calibri" w:cs="Calibri"/>
                <w:sz w:val="22"/>
              </w:rPr>
            </w:pPr>
            <w:r w:rsidRPr="003744CB">
              <w:rPr>
                <w:rFonts w:ascii="Calibri" w:hAnsi="Calibri" w:cs="Calibri"/>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3A709DA" w14:textId="77777777" w:rsidR="002A6275" w:rsidRPr="003744CB" w:rsidRDefault="002A6275" w:rsidP="00FD3D57">
            <w:pPr>
              <w:ind w:right="-766"/>
              <w:rPr>
                <w:rFonts w:ascii="Calibri" w:hAnsi="Calibri" w:cs="Calibri"/>
                <w:b/>
                <w:bCs/>
                <w:sz w:val="22"/>
              </w:rPr>
            </w:pPr>
          </w:p>
          <w:p w14:paraId="0A31B37C" w14:textId="77777777" w:rsidR="002A6275" w:rsidRPr="003744CB" w:rsidRDefault="002A6275" w:rsidP="00FD3D57">
            <w:pPr>
              <w:ind w:right="-766"/>
              <w:rPr>
                <w:rFonts w:ascii="Calibri" w:hAnsi="Calibri" w:cs="Calibri"/>
                <w:iCs/>
                <w:sz w:val="22"/>
              </w:rPr>
            </w:pPr>
            <w:r w:rsidRPr="003744CB">
              <w:rPr>
                <w:rFonts w:ascii="Calibri" w:hAnsi="Calibri" w:cs="Calibri"/>
                <w:b/>
                <w:bCs/>
                <w:sz w:val="22"/>
              </w:rPr>
              <w:t>Character</w:t>
            </w:r>
          </w:p>
          <w:p w14:paraId="2FBF53DF" w14:textId="77777777" w:rsidR="002A6275" w:rsidRPr="003744CB" w:rsidRDefault="002A6275" w:rsidP="00FD3D57">
            <w:pPr>
              <w:ind w:right="-766"/>
              <w:rPr>
                <w:rFonts w:ascii="Calibri" w:hAnsi="Calibri" w:cs="Calibri"/>
                <w:sz w:val="22"/>
              </w:rPr>
            </w:pPr>
            <w:r w:rsidRPr="003744CB">
              <w:rPr>
                <w:rFonts w:ascii="Calibri" w:hAnsi="Calibri" w:cs="Calibri"/>
                <w:sz w:val="22"/>
              </w:rPr>
              <w:t>Each candidate for and any person holding the office must be of good character</w:t>
            </w:r>
          </w:p>
          <w:p w14:paraId="5A0151D9" w14:textId="77777777" w:rsidR="002A6275" w:rsidRPr="003744CB" w:rsidRDefault="002A6275" w:rsidP="00FD3D57">
            <w:pPr>
              <w:ind w:right="-766"/>
              <w:rPr>
                <w:rFonts w:ascii="Calibri" w:hAnsi="Calibri" w:cs="Calibri"/>
                <w:sz w:val="22"/>
              </w:rPr>
            </w:pPr>
          </w:p>
        </w:tc>
      </w:tr>
    </w:tbl>
    <w:p w14:paraId="4C08FAA4" w14:textId="77777777" w:rsidR="002A6275" w:rsidRPr="002E719E" w:rsidRDefault="002A6275" w:rsidP="006F0040">
      <w:pPr>
        <w:spacing w:before="240" w:after="120" w:line="240" w:lineRule="auto"/>
        <w:rPr>
          <w:rFonts w:cs="Arial"/>
          <w:color w:val="000099"/>
          <w:szCs w:val="20"/>
        </w:rPr>
      </w:pP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21" w:name="_Appendix_2:_Applicant"/>
      <w:bookmarkStart w:id="22" w:name="_Toc188374543"/>
      <w:bookmarkEnd w:id="21"/>
      <w:r w:rsidRPr="0062775A">
        <w:lastRenderedPageBreak/>
        <w:t xml:space="preserve">Appendix 2: </w:t>
      </w:r>
      <w:r>
        <w:t>EEA,</w:t>
      </w:r>
      <w:r w:rsidRPr="0062775A">
        <w:t xml:space="preserve"> Swiss, British and Non-EEA Applicants </w:t>
      </w:r>
      <w:bookmarkEnd w:id="22"/>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3" w:name="_Appendix_4:_Clearances"/>
      <w:bookmarkStart w:id="24" w:name="_Toc188374544"/>
      <w:bookmarkEnd w:id="23"/>
      <w:r>
        <w:lastRenderedPageBreak/>
        <w:t xml:space="preserve">Appendix 3: </w:t>
      </w:r>
      <w:r w:rsidRPr="00BD636C">
        <w:t>Clearances</w:t>
      </w:r>
      <w:bookmarkEnd w:id="24"/>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956327"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956327"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956327"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956327"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5" w:name="_Appendix:_6_Panel"/>
      <w:bookmarkStart w:id="26" w:name="_Appendix:_4_Interview"/>
      <w:bookmarkStart w:id="27" w:name="_Toc188374545"/>
      <w:bookmarkEnd w:id="25"/>
      <w:bookmarkEnd w:id="26"/>
      <w:r>
        <w:lastRenderedPageBreak/>
        <w:t>Appendix: 4 Interview Reasonable Accommodation (RA) Requests Process Flowchart for Candidates</w:t>
      </w:r>
      <w:bookmarkEnd w:id="27"/>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164823DA" w14:textId="77777777" w:rsidR="00956327" w:rsidRDefault="00956327" w:rsidP="006F0040">
      <w:pPr>
        <w:pStyle w:val="Heading2"/>
      </w:pPr>
      <w:bookmarkStart w:id="28" w:name="_Appendix:_5_Panel"/>
      <w:bookmarkStart w:id="29" w:name="_Toc188374546"/>
      <w:bookmarkEnd w:id="28"/>
    </w:p>
    <w:p w14:paraId="177A11D8" w14:textId="77777777" w:rsidR="00956327" w:rsidRDefault="00956327" w:rsidP="006F0040">
      <w:pPr>
        <w:pStyle w:val="Heading2"/>
      </w:pPr>
    </w:p>
    <w:p w14:paraId="05891266" w14:textId="68942C72" w:rsidR="006F0040" w:rsidRDefault="006F0040" w:rsidP="006F0040">
      <w:pPr>
        <w:pStyle w:val="Heading2"/>
      </w:pPr>
      <w:r>
        <w:t xml:space="preserve">Appendix: 5 </w:t>
      </w:r>
      <w:r w:rsidRPr="002E719E">
        <w:t>Panel Management Rules</w:t>
      </w:r>
      <w:bookmarkEnd w:id="29"/>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lastRenderedPageBreak/>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93FF2"/>
    <w:multiLevelType w:val="hybridMultilevel"/>
    <w:tmpl w:val="188ADF58"/>
    <w:lvl w:ilvl="0" w:tplc="D4C2A412">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CE35B16"/>
    <w:multiLevelType w:val="hybridMultilevel"/>
    <w:tmpl w:val="38E636D0"/>
    <w:lvl w:ilvl="0" w:tplc="D616BD9C">
      <w:start w:val="1"/>
      <w:numFmt w:val="bullet"/>
      <w:lvlText w:val=""/>
      <w:lvlJc w:val="left"/>
      <w:pPr>
        <w:tabs>
          <w:tab w:val="num" w:pos="360"/>
        </w:tabs>
        <w:ind w:left="360" w:hanging="360"/>
      </w:pPr>
      <w:rPr>
        <w:rFonts w:ascii="Symbol" w:hAnsi="Symbol" w:hint="default"/>
        <w:color w:val="000000"/>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4"/>
  </w:num>
  <w:num w:numId="4">
    <w:abstractNumId w:val="27"/>
  </w:num>
  <w:num w:numId="5">
    <w:abstractNumId w:val="4"/>
  </w:num>
  <w:num w:numId="6">
    <w:abstractNumId w:val="7"/>
  </w:num>
  <w:num w:numId="7">
    <w:abstractNumId w:val="32"/>
  </w:num>
  <w:num w:numId="8">
    <w:abstractNumId w:val="21"/>
  </w:num>
  <w:num w:numId="9">
    <w:abstractNumId w:val="9"/>
  </w:num>
  <w:num w:numId="10">
    <w:abstractNumId w:val="0"/>
  </w:num>
  <w:num w:numId="11">
    <w:abstractNumId w:val="13"/>
  </w:num>
  <w:num w:numId="12">
    <w:abstractNumId w:val="23"/>
  </w:num>
  <w:num w:numId="13">
    <w:abstractNumId w:val="14"/>
  </w:num>
  <w:num w:numId="14">
    <w:abstractNumId w:val="16"/>
  </w:num>
  <w:num w:numId="15">
    <w:abstractNumId w:val="33"/>
  </w:num>
  <w:num w:numId="16">
    <w:abstractNumId w:val="29"/>
  </w:num>
  <w:num w:numId="17">
    <w:abstractNumId w:val="38"/>
  </w:num>
  <w:num w:numId="18">
    <w:abstractNumId w:val="6"/>
  </w:num>
  <w:num w:numId="19">
    <w:abstractNumId w:val="20"/>
  </w:num>
  <w:num w:numId="20">
    <w:abstractNumId w:val="22"/>
  </w:num>
  <w:num w:numId="21">
    <w:abstractNumId w:val="30"/>
  </w:num>
  <w:num w:numId="22">
    <w:abstractNumId w:val="11"/>
  </w:num>
  <w:num w:numId="23">
    <w:abstractNumId w:val="3"/>
  </w:num>
  <w:num w:numId="24">
    <w:abstractNumId w:val="12"/>
  </w:num>
  <w:num w:numId="25">
    <w:abstractNumId w:val="3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6"/>
  </w:num>
  <w:num w:numId="32">
    <w:abstractNumId w:val="19"/>
  </w:num>
  <w:num w:numId="33">
    <w:abstractNumId w:val="5"/>
  </w:num>
  <w:num w:numId="34">
    <w:abstractNumId w:val="35"/>
  </w:num>
  <w:num w:numId="35">
    <w:abstractNumId w:val="26"/>
  </w:num>
  <w:num w:numId="36">
    <w:abstractNumId w:val="1"/>
  </w:num>
  <w:num w:numId="37">
    <w:abstractNumId w:val="15"/>
  </w:num>
  <w:num w:numId="38">
    <w:abstractNumId w:val="18"/>
  </w:num>
  <w:num w:numId="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54744"/>
    <w:rsid w:val="002A6275"/>
    <w:rsid w:val="00430805"/>
    <w:rsid w:val="006F0040"/>
    <w:rsid w:val="00956327"/>
    <w:rsid w:val="00A2134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54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5940</Words>
  <Characters>33859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9</cp:revision>
  <dcterms:created xsi:type="dcterms:W3CDTF">2025-07-01T13:46:00Z</dcterms:created>
  <dcterms:modified xsi:type="dcterms:W3CDTF">2026-06-23T08:33:00Z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