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3B305291" w:rsidR="006F0040" w:rsidRPr="000F6DEE" w:rsidRDefault="006F0040"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reference no: </w:t>
      </w:r>
      <w:r w:rsidR="000F6DEE" w:rsidRPr="000F6DEE">
        <w:rPr>
          <w:rFonts w:eastAsia="Times New Roman" w:cs="Arial"/>
          <w:b/>
          <w:iCs/>
          <w:sz w:val="24"/>
          <w:szCs w:val="24"/>
          <w:lang w:eastAsia="en-IE"/>
        </w:rPr>
        <w:t>G11338 Phlebotomist, Senior</w:t>
      </w:r>
    </w:p>
    <w:p w14:paraId="6BB259D8" w14:textId="49563514" w:rsidR="006F0040" w:rsidRPr="000F6DEE" w:rsidRDefault="000F6DEE"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0F6DEE">
        <w:rPr>
          <w:rFonts w:eastAsia="Times New Roman" w:cs="Arial"/>
          <w:b/>
          <w:iCs/>
          <w:sz w:val="24"/>
          <w:szCs w:val="24"/>
          <w:lang w:eastAsia="en-IE"/>
        </w:rPr>
        <w:t>Galway University Hospitals</w:t>
      </w:r>
      <w:r w:rsidR="006F0040" w:rsidRPr="000F6DEE">
        <w:rPr>
          <w:rFonts w:eastAsia="Times New Roman" w:cs="Arial"/>
          <w:b/>
          <w:iCs/>
          <w:sz w:val="24"/>
          <w:szCs w:val="24"/>
          <w:lang w:eastAsia="en-IE"/>
        </w:rPr>
        <w:t xml:space="preserve"> </w:t>
      </w:r>
    </w:p>
    <w:p w14:paraId="342D91CE" w14:textId="7BA64C5B" w:rsidR="006F0040" w:rsidRPr="000F6DEE" w:rsidRDefault="006F0040" w:rsidP="006F0040">
      <w:pPr>
        <w:spacing w:before="240" w:after="120" w:line="240" w:lineRule="auto"/>
        <w:rPr>
          <w:rFonts w:eastAsia="Times New Roman" w:cs="Arial"/>
          <w:iCs/>
          <w:szCs w:val="20"/>
          <w:lang w:eastAsia="en-IE"/>
        </w:rPr>
      </w:pPr>
      <w:r w:rsidRPr="000F6DEE">
        <w:rPr>
          <w:rFonts w:eastAsia="Times New Roman" w:cs="Arial"/>
          <w:szCs w:val="20"/>
          <w:lang w:eastAsia="en-IE"/>
        </w:rPr>
        <w:t>Thank you for your interest in this role.</w:t>
      </w:r>
      <w:r w:rsidR="000F6DEE" w:rsidRPr="000F6DEE">
        <w:rPr>
          <w:rFonts w:eastAsia="Times New Roman" w:cs="Arial"/>
          <w:iCs/>
          <w:szCs w:val="20"/>
          <w:lang w:eastAsia="en-IE"/>
        </w:rPr>
        <w:t xml:space="preserve"> </w:t>
      </w:r>
      <w:r w:rsidRPr="000F6DEE">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1389C4F0"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0F6DEE">
        <w:rPr>
          <w:rFonts w:ascii="Arial" w:eastAsia="Times New Roman" w:hAnsi="Arial" w:cs="Arial"/>
          <w:sz w:val="20"/>
          <w:szCs w:val="20"/>
        </w:rPr>
        <w:t xml:space="preserve">GUH Recruitment Team, </w:t>
      </w:r>
      <w:hyperlink r:id="rId11" w:history="1">
        <w:r w:rsidR="000F6DEE" w:rsidRPr="00DD6787">
          <w:rPr>
            <w:rStyle w:val="Hyperlink"/>
            <w:rFonts w:ascii="Arial" w:eastAsia="Times New Roman" w:hAnsi="Arial" w:cs="Arial"/>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26BD99B9" w14:textId="4A8D342C" w:rsidR="00AA2BE3"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1953375" w:history="1">
            <w:r w:rsidR="00AA2BE3" w:rsidRPr="0026100E">
              <w:rPr>
                <w:rStyle w:val="Hyperlink"/>
                <w:rFonts w:eastAsia="Times New Roman" w:cs="Arial"/>
                <w:noProof/>
                <w:lang w:val="en-US"/>
              </w:rPr>
              <w:t>Who should apply?</w:t>
            </w:r>
            <w:r w:rsidR="00AA2BE3">
              <w:rPr>
                <w:noProof/>
                <w:webHidden/>
              </w:rPr>
              <w:tab/>
            </w:r>
            <w:r w:rsidR="00AA2BE3">
              <w:rPr>
                <w:noProof/>
                <w:webHidden/>
              </w:rPr>
              <w:fldChar w:fldCharType="begin"/>
            </w:r>
            <w:r w:rsidR="00AA2BE3">
              <w:rPr>
                <w:noProof/>
                <w:webHidden/>
              </w:rPr>
              <w:instrText xml:space="preserve"> PAGEREF _Toc211953375 \h </w:instrText>
            </w:r>
            <w:r w:rsidR="00AA2BE3">
              <w:rPr>
                <w:noProof/>
                <w:webHidden/>
              </w:rPr>
            </w:r>
            <w:r w:rsidR="00AA2BE3">
              <w:rPr>
                <w:noProof/>
                <w:webHidden/>
              </w:rPr>
              <w:fldChar w:fldCharType="separate"/>
            </w:r>
            <w:r w:rsidR="00AA2BE3">
              <w:rPr>
                <w:noProof/>
                <w:webHidden/>
              </w:rPr>
              <w:t>2</w:t>
            </w:r>
            <w:r w:rsidR="00AA2BE3">
              <w:rPr>
                <w:noProof/>
                <w:webHidden/>
              </w:rPr>
              <w:fldChar w:fldCharType="end"/>
            </w:r>
          </w:hyperlink>
        </w:p>
        <w:p w14:paraId="52BF1683" w14:textId="3F22621E" w:rsidR="00AA2BE3" w:rsidRDefault="0055227E">
          <w:pPr>
            <w:pStyle w:val="TOC1"/>
            <w:rPr>
              <w:rFonts w:asciiTheme="minorHAnsi" w:eastAsiaTheme="minorEastAsia" w:hAnsiTheme="minorHAnsi"/>
              <w:noProof/>
              <w:sz w:val="22"/>
              <w:lang w:eastAsia="en-IE"/>
            </w:rPr>
          </w:pPr>
          <w:hyperlink w:anchor="_Toc211953376" w:history="1">
            <w:r w:rsidR="00AA2BE3" w:rsidRPr="0026100E">
              <w:rPr>
                <w:rStyle w:val="Hyperlink"/>
                <w:rFonts w:eastAsia="Times New Roman" w:cs="Arial"/>
                <w:noProof/>
                <w:lang w:val="en-US"/>
              </w:rPr>
              <w:t>How to apply for this post.</w:t>
            </w:r>
            <w:r w:rsidR="00AA2BE3">
              <w:rPr>
                <w:noProof/>
                <w:webHidden/>
              </w:rPr>
              <w:tab/>
            </w:r>
            <w:r w:rsidR="00AA2BE3">
              <w:rPr>
                <w:noProof/>
                <w:webHidden/>
              </w:rPr>
              <w:fldChar w:fldCharType="begin"/>
            </w:r>
            <w:r w:rsidR="00AA2BE3">
              <w:rPr>
                <w:noProof/>
                <w:webHidden/>
              </w:rPr>
              <w:instrText xml:space="preserve"> PAGEREF _Toc211953376 \h </w:instrText>
            </w:r>
            <w:r w:rsidR="00AA2BE3">
              <w:rPr>
                <w:noProof/>
                <w:webHidden/>
              </w:rPr>
            </w:r>
            <w:r w:rsidR="00AA2BE3">
              <w:rPr>
                <w:noProof/>
                <w:webHidden/>
              </w:rPr>
              <w:fldChar w:fldCharType="separate"/>
            </w:r>
            <w:r w:rsidR="00AA2BE3">
              <w:rPr>
                <w:noProof/>
                <w:webHidden/>
              </w:rPr>
              <w:t>2</w:t>
            </w:r>
            <w:r w:rsidR="00AA2BE3">
              <w:rPr>
                <w:noProof/>
                <w:webHidden/>
              </w:rPr>
              <w:fldChar w:fldCharType="end"/>
            </w:r>
          </w:hyperlink>
        </w:p>
        <w:p w14:paraId="07CF844C" w14:textId="2A0CE33B" w:rsidR="00AA2BE3" w:rsidRDefault="0055227E">
          <w:pPr>
            <w:pStyle w:val="TOC1"/>
            <w:rPr>
              <w:rFonts w:asciiTheme="minorHAnsi" w:eastAsiaTheme="minorEastAsia" w:hAnsiTheme="minorHAnsi"/>
              <w:noProof/>
              <w:sz w:val="22"/>
              <w:lang w:eastAsia="en-IE"/>
            </w:rPr>
          </w:pPr>
          <w:hyperlink w:anchor="_Toc211953377" w:history="1">
            <w:r w:rsidR="00AA2BE3" w:rsidRPr="0026100E">
              <w:rPr>
                <w:rStyle w:val="Hyperlink"/>
                <w:rFonts w:cs="Arial"/>
                <w:bCs/>
                <w:noProof/>
              </w:rPr>
              <w:t>How we will manage the selection process.</w:t>
            </w:r>
            <w:r w:rsidR="00AA2BE3">
              <w:rPr>
                <w:noProof/>
                <w:webHidden/>
              </w:rPr>
              <w:tab/>
            </w:r>
            <w:r w:rsidR="00AA2BE3">
              <w:rPr>
                <w:noProof/>
                <w:webHidden/>
              </w:rPr>
              <w:fldChar w:fldCharType="begin"/>
            </w:r>
            <w:r w:rsidR="00AA2BE3">
              <w:rPr>
                <w:noProof/>
                <w:webHidden/>
              </w:rPr>
              <w:instrText xml:space="preserve"> PAGEREF _Toc211953377 \h </w:instrText>
            </w:r>
            <w:r w:rsidR="00AA2BE3">
              <w:rPr>
                <w:noProof/>
                <w:webHidden/>
              </w:rPr>
            </w:r>
            <w:r w:rsidR="00AA2BE3">
              <w:rPr>
                <w:noProof/>
                <w:webHidden/>
              </w:rPr>
              <w:fldChar w:fldCharType="separate"/>
            </w:r>
            <w:r w:rsidR="00AA2BE3">
              <w:rPr>
                <w:noProof/>
                <w:webHidden/>
              </w:rPr>
              <w:t>3</w:t>
            </w:r>
            <w:r w:rsidR="00AA2BE3">
              <w:rPr>
                <w:noProof/>
                <w:webHidden/>
              </w:rPr>
              <w:fldChar w:fldCharType="end"/>
            </w:r>
          </w:hyperlink>
        </w:p>
        <w:p w14:paraId="3F130FE2" w14:textId="199DF2EA" w:rsidR="00AA2BE3" w:rsidRDefault="0055227E">
          <w:pPr>
            <w:pStyle w:val="TOC1"/>
            <w:rPr>
              <w:rFonts w:asciiTheme="minorHAnsi" w:eastAsiaTheme="minorEastAsia" w:hAnsiTheme="minorHAnsi"/>
              <w:noProof/>
              <w:sz w:val="22"/>
              <w:lang w:eastAsia="en-IE"/>
            </w:rPr>
          </w:pPr>
          <w:hyperlink w:anchor="_Toc211953378" w:history="1">
            <w:r w:rsidR="00AA2BE3" w:rsidRPr="0026100E">
              <w:rPr>
                <w:rStyle w:val="Hyperlink"/>
                <w:rFonts w:cs="Arial"/>
                <w:noProof/>
              </w:rPr>
              <w:t>Candidate Supports</w:t>
            </w:r>
            <w:r w:rsidR="00AA2BE3">
              <w:rPr>
                <w:noProof/>
                <w:webHidden/>
              </w:rPr>
              <w:tab/>
            </w:r>
            <w:r w:rsidR="00AA2BE3">
              <w:rPr>
                <w:noProof/>
                <w:webHidden/>
              </w:rPr>
              <w:fldChar w:fldCharType="begin"/>
            </w:r>
            <w:r w:rsidR="00AA2BE3">
              <w:rPr>
                <w:noProof/>
                <w:webHidden/>
              </w:rPr>
              <w:instrText xml:space="preserve"> PAGEREF _Toc211953378 \h </w:instrText>
            </w:r>
            <w:r w:rsidR="00AA2BE3">
              <w:rPr>
                <w:noProof/>
                <w:webHidden/>
              </w:rPr>
            </w:r>
            <w:r w:rsidR="00AA2BE3">
              <w:rPr>
                <w:noProof/>
                <w:webHidden/>
              </w:rPr>
              <w:fldChar w:fldCharType="separate"/>
            </w:r>
            <w:r w:rsidR="00AA2BE3">
              <w:rPr>
                <w:noProof/>
                <w:webHidden/>
              </w:rPr>
              <w:t>3</w:t>
            </w:r>
            <w:r w:rsidR="00AA2BE3">
              <w:rPr>
                <w:noProof/>
                <w:webHidden/>
              </w:rPr>
              <w:fldChar w:fldCharType="end"/>
            </w:r>
          </w:hyperlink>
        </w:p>
        <w:p w14:paraId="59551463" w14:textId="04E0CB65" w:rsidR="00AA2BE3" w:rsidRDefault="0055227E">
          <w:pPr>
            <w:pStyle w:val="TOC1"/>
            <w:rPr>
              <w:rFonts w:asciiTheme="minorHAnsi" w:eastAsiaTheme="minorEastAsia" w:hAnsiTheme="minorHAnsi"/>
              <w:noProof/>
              <w:sz w:val="22"/>
              <w:lang w:eastAsia="en-IE"/>
            </w:rPr>
          </w:pPr>
          <w:hyperlink w:anchor="_Toc211953379" w:history="1">
            <w:r w:rsidR="00AA2BE3" w:rsidRPr="0026100E">
              <w:rPr>
                <w:rStyle w:val="Hyperlink"/>
                <w:noProof/>
              </w:rPr>
              <w:t>Reasonable Accommodations Requests for Candidates with Disabilities</w:t>
            </w:r>
            <w:r w:rsidR="00AA2BE3">
              <w:rPr>
                <w:noProof/>
                <w:webHidden/>
              </w:rPr>
              <w:tab/>
            </w:r>
            <w:r w:rsidR="00AA2BE3">
              <w:rPr>
                <w:noProof/>
                <w:webHidden/>
              </w:rPr>
              <w:fldChar w:fldCharType="begin"/>
            </w:r>
            <w:r w:rsidR="00AA2BE3">
              <w:rPr>
                <w:noProof/>
                <w:webHidden/>
              </w:rPr>
              <w:instrText xml:space="preserve"> PAGEREF _Toc211953379 \h </w:instrText>
            </w:r>
            <w:r w:rsidR="00AA2BE3">
              <w:rPr>
                <w:noProof/>
                <w:webHidden/>
              </w:rPr>
            </w:r>
            <w:r w:rsidR="00AA2BE3">
              <w:rPr>
                <w:noProof/>
                <w:webHidden/>
              </w:rPr>
              <w:fldChar w:fldCharType="separate"/>
            </w:r>
            <w:r w:rsidR="00AA2BE3">
              <w:rPr>
                <w:noProof/>
                <w:webHidden/>
              </w:rPr>
              <w:t>4</w:t>
            </w:r>
            <w:r w:rsidR="00AA2BE3">
              <w:rPr>
                <w:noProof/>
                <w:webHidden/>
              </w:rPr>
              <w:fldChar w:fldCharType="end"/>
            </w:r>
          </w:hyperlink>
        </w:p>
        <w:p w14:paraId="2FFBF827" w14:textId="210DC08B" w:rsidR="00AA2BE3" w:rsidRDefault="0055227E">
          <w:pPr>
            <w:pStyle w:val="TOC1"/>
            <w:rPr>
              <w:rFonts w:asciiTheme="minorHAnsi" w:eastAsiaTheme="minorEastAsia" w:hAnsiTheme="minorHAnsi"/>
              <w:noProof/>
              <w:sz w:val="22"/>
              <w:lang w:eastAsia="en-IE"/>
            </w:rPr>
          </w:pPr>
          <w:hyperlink w:anchor="_Toc211953380" w:history="1">
            <w:r w:rsidR="00AA2BE3" w:rsidRPr="0026100E">
              <w:rPr>
                <w:rStyle w:val="Hyperlink"/>
                <w:rFonts w:cs="Arial"/>
                <w:noProof/>
              </w:rPr>
              <w:t>Interview Notes</w:t>
            </w:r>
            <w:r w:rsidR="00AA2BE3">
              <w:rPr>
                <w:noProof/>
                <w:webHidden/>
              </w:rPr>
              <w:tab/>
            </w:r>
            <w:r w:rsidR="00AA2BE3">
              <w:rPr>
                <w:noProof/>
                <w:webHidden/>
              </w:rPr>
              <w:fldChar w:fldCharType="begin"/>
            </w:r>
            <w:r w:rsidR="00AA2BE3">
              <w:rPr>
                <w:noProof/>
                <w:webHidden/>
              </w:rPr>
              <w:instrText xml:space="preserve"> PAGEREF _Toc211953380 \h </w:instrText>
            </w:r>
            <w:r w:rsidR="00AA2BE3">
              <w:rPr>
                <w:noProof/>
                <w:webHidden/>
              </w:rPr>
            </w:r>
            <w:r w:rsidR="00AA2BE3">
              <w:rPr>
                <w:noProof/>
                <w:webHidden/>
              </w:rPr>
              <w:fldChar w:fldCharType="separate"/>
            </w:r>
            <w:r w:rsidR="00AA2BE3">
              <w:rPr>
                <w:noProof/>
                <w:webHidden/>
              </w:rPr>
              <w:t>4</w:t>
            </w:r>
            <w:r w:rsidR="00AA2BE3">
              <w:rPr>
                <w:noProof/>
                <w:webHidden/>
              </w:rPr>
              <w:fldChar w:fldCharType="end"/>
            </w:r>
          </w:hyperlink>
        </w:p>
        <w:p w14:paraId="706BB001" w14:textId="5805EEB8" w:rsidR="00AA2BE3" w:rsidRDefault="0055227E">
          <w:pPr>
            <w:pStyle w:val="TOC1"/>
            <w:rPr>
              <w:rFonts w:asciiTheme="minorHAnsi" w:eastAsiaTheme="minorEastAsia" w:hAnsiTheme="minorHAnsi"/>
              <w:noProof/>
              <w:sz w:val="22"/>
              <w:lang w:eastAsia="en-IE"/>
            </w:rPr>
          </w:pPr>
          <w:hyperlink w:anchor="_Toc211953381" w:history="1">
            <w:r w:rsidR="00AA2BE3" w:rsidRPr="0026100E">
              <w:rPr>
                <w:rStyle w:val="Hyperlink"/>
                <w:rFonts w:cs="Arial"/>
                <w:noProof/>
              </w:rPr>
              <w:t>Formation of Panels</w:t>
            </w:r>
            <w:r w:rsidR="00AA2BE3">
              <w:rPr>
                <w:noProof/>
                <w:webHidden/>
              </w:rPr>
              <w:tab/>
            </w:r>
            <w:r w:rsidR="00AA2BE3">
              <w:rPr>
                <w:noProof/>
                <w:webHidden/>
              </w:rPr>
              <w:fldChar w:fldCharType="begin"/>
            </w:r>
            <w:r w:rsidR="00AA2BE3">
              <w:rPr>
                <w:noProof/>
                <w:webHidden/>
              </w:rPr>
              <w:instrText xml:space="preserve"> PAGEREF _Toc211953381 \h </w:instrText>
            </w:r>
            <w:r w:rsidR="00AA2BE3">
              <w:rPr>
                <w:noProof/>
                <w:webHidden/>
              </w:rPr>
            </w:r>
            <w:r w:rsidR="00AA2BE3">
              <w:rPr>
                <w:noProof/>
                <w:webHidden/>
              </w:rPr>
              <w:fldChar w:fldCharType="separate"/>
            </w:r>
            <w:r w:rsidR="00AA2BE3">
              <w:rPr>
                <w:noProof/>
                <w:webHidden/>
              </w:rPr>
              <w:t>4</w:t>
            </w:r>
            <w:r w:rsidR="00AA2BE3">
              <w:rPr>
                <w:noProof/>
                <w:webHidden/>
              </w:rPr>
              <w:fldChar w:fldCharType="end"/>
            </w:r>
          </w:hyperlink>
        </w:p>
        <w:p w14:paraId="6E4C0D46" w14:textId="6B8E5419" w:rsidR="00AA2BE3" w:rsidRDefault="0055227E">
          <w:pPr>
            <w:pStyle w:val="TOC1"/>
            <w:rPr>
              <w:rFonts w:asciiTheme="minorHAnsi" w:eastAsiaTheme="minorEastAsia" w:hAnsiTheme="minorHAnsi"/>
              <w:noProof/>
              <w:sz w:val="22"/>
              <w:lang w:eastAsia="en-IE"/>
            </w:rPr>
          </w:pPr>
          <w:hyperlink w:anchor="_Toc211953382" w:history="1">
            <w:r w:rsidR="00AA2BE3" w:rsidRPr="0026100E">
              <w:rPr>
                <w:rStyle w:val="Hyperlink"/>
                <w:noProof/>
              </w:rPr>
              <w:t>Marking System</w:t>
            </w:r>
            <w:r w:rsidR="00AA2BE3">
              <w:rPr>
                <w:noProof/>
                <w:webHidden/>
              </w:rPr>
              <w:tab/>
            </w:r>
            <w:r w:rsidR="00AA2BE3">
              <w:rPr>
                <w:noProof/>
                <w:webHidden/>
              </w:rPr>
              <w:fldChar w:fldCharType="begin"/>
            </w:r>
            <w:r w:rsidR="00AA2BE3">
              <w:rPr>
                <w:noProof/>
                <w:webHidden/>
              </w:rPr>
              <w:instrText xml:space="preserve"> PAGEREF _Toc211953382 \h </w:instrText>
            </w:r>
            <w:r w:rsidR="00AA2BE3">
              <w:rPr>
                <w:noProof/>
                <w:webHidden/>
              </w:rPr>
            </w:r>
            <w:r w:rsidR="00AA2BE3">
              <w:rPr>
                <w:noProof/>
                <w:webHidden/>
              </w:rPr>
              <w:fldChar w:fldCharType="separate"/>
            </w:r>
            <w:r w:rsidR="00AA2BE3">
              <w:rPr>
                <w:noProof/>
                <w:webHidden/>
              </w:rPr>
              <w:t>4</w:t>
            </w:r>
            <w:r w:rsidR="00AA2BE3">
              <w:rPr>
                <w:noProof/>
                <w:webHidden/>
              </w:rPr>
              <w:fldChar w:fldCharType="end"/>
            </w:r>
          </w:hyperlink>
        </w:p>
        <w:p w14:paraId="76A61A75" w14:textId="729F9616" w:rsidR="00AA2BE3" w:rsidRDefault="0055227E">
          <w:pPr>
            <w:pStyle w:val="TOC1"/>
            <w:rPr>
              <w:rFonts w:asciiTheme="minorHAnsi" w:eastAsiaTheme="minorEastAsia" w:hAnsiTheme="minorHAnsi"/>
              <w:noProof/>
              <w:sz w:val="22"/>
              <w:lang w:eastAsia="en-IE"/>
            </w:rPr>
          </w:pPr>
          <w:hyperlink w:anchor="_Toc211953383" w:history="1">
            <w:r w:rsidR="00AA2BE3" w:rsidRPr="0026100E">
              <w:rPr>
                <w:rStyle w:val="Hyperlink"/>
                <w:noProof/>
              </w:rPr>
              <w:t>Future panels</w:t>
            </w:r>
            <w:r w:rsidR="00AA2BE3">
              <w:rPr>
                <w:noProof/>
                <w:webHidden/>
              </w:rPr>
              <w:tab/>
            </w:r>
            <w:r w:rsidR="00AA2BE3">
              <w:rPr>
                <w:noProof/>
                <w:webHidden/>
              </w:rPr>
              <w:fldChar w:fldCharType="begin"/>
            </w:r>
            <w:r w:rsidR="00AA2BE3">
              <w:rPr>
                <w:noProof/>
                <w:webHidden/>
              </w:rPr>
              <w:instrText xml:space="preserve"> PAGEREF _Toc211953383 \h </w:instrText>
            </w:r>
            <w:r w:rsidR="00AA2BE3">
              <w:rPr>
                <w:noProof/>
                <w:webHidden/>
              </w:rPr>
            </w:r>
            <w:r w:rsidR="00AA2BE3">
              <w:rPr>
                <w:noProof/>
                <w:webHidden/>
              </w:rPr>
              <w:fldChar w:fldCharType="separate"/>
            </w:r>
            <w:r w:rsidR="00AA2BE3">
              <w:rPr>
                <w:noProof/>
                <w:webHidden/>
              </w:rPr>
              <w:t>5</w:t>
            </w:r>
            <w:r w:rsidR="00AA2BE3">
              <w:rPr>
                <w:noProof/>
                <w:webHidden/>
              </w:rPr>
              <w:fldChar w:fldCharType="end"/>
            </w:r>
          </w:hyperlink>
        </w:p>
        <w:p w14:paraId="5D51E739" w14:textId="0513E68E" w:rsidR="00AA2BE3" w:rsidRDefault="0055227E">
          <w:pPr>
            <w:pStyle w:val="TOC1"/>
            <w:rPr>
              <w:rFonts w:asciiTheme="minorHAnsi" w:eastAsiaTheme="minorEastAsia" w:hAnsiTheme="minorHAnsi"/>
              <w:noProof/>
              <w:sz w:val="22"/>
              <w:lang w:eastAsia="en-IE"/>
            </w:rPr>
          </w:pPr>
          <w:hyperlink w:anchor="_Toc211953384" w:history="1">
            <w:r w:rsidR="00AA2BE3" w:rsidRPr="0026100E">
              <w:rPr>
                <w:rStyle w:val="Hyperlink"/>
                <w:rFonts w:eastAsia="Times New Roman" w:cs="Arial"/>
                <w:noProof/>
                <w:lang w:val="en-US"/>
              </w:rPr>
              <w:t>Acceptance / Declination of a Recommendation to Proceed</w:t>
            </w:r>
            <w:r w:rsidR="00AA2BE3">
              <w:rPr>
                <w:noProof/>
                <w:webHidden/>
              </w:rPr>
              <w:tab/>
            </w:r>
            <w:r w:rsidR="00AA2BE3">
              <w:rPr>
                <w:noProof/>
                <w:webHidden/>
              </w:rPr>
              <w:fldChar w:fldCharType="begin"/>
            </w:r>
            <w:r w:rsidR="00AA2BE3">
              <w:rPr>
                <w:noProof/>
                <w:webHidden/>
              </w:rPr>
              <w:instrText xml:space="preserve"> PAGEREF _Toc211953384 \h </w:instrText>
            </w:r>
            <w:r w:rsidR="00AA2BE3">
              <w:rPr>
                <w:noProof/>
                <w:webHidden/>
              </w:rPr>
            </w:r>
            <w:r w:rsidR="00AA2BE3">
              <w:rPr>
                <w:noProof/>
                <w:webHidden/>
              </w:rPr>
              <w:fldChar w:fldCharType="separate"/>
            </w:r>
            <w:r w:rsidR="00AA2BE3">
              <w:rPr>
                <w:noProof/>
                <w:webHidden/>
              </w:rPr>
              <w:t>5</w:t>
            </w:r>
            <w:r w:rsidR="00AA2BE3">
              <w:rPr>
                <w:noProof/>
                <w:webHidden/>
              </w:rPr>
              <w:fldChar w:fldCharType="end"/>
            </w:r>
          </w:hyperlink>
        </w:p>
        <w:p w14:paraId="2A206521" w14:textId="40C073A8" w:rsidR="00AA2BE3" w:rsidRDefault="0055227E">
          <w:pPr>
            <w:pStyle w:val="TOC1"/>
            <w:rPr>
              <w:rFonts w:asciiTheme="minorHAnsi" w:eastAsiaTheme="minorEastAsia" w:hAnsiTheme="minorHAnsi"/>
              <w:noProof/>
              <w:sz w:val="22"/>
              <w:lang w:eastAsia="en-IE"/>
            </w:rPr>
          </w:pPr>
          <w:hyperlink w:anchor="_Toc211953385" w:history="1">
            <w:r w:rsidR="00AA2BE3" w:rsidRPr="0026100E">
              <w:rPr>
                <w:rStyle w:val="Hyperlink"/>
                <w:rFonts w:eastAsia="Times New Roman" w:cs="Arial"/>
                <w:noProof/>
                <w:lang w:val="en-US"/>
              </w:rPr>
              <w:t>Recruitment Process Time Scales</w:t>
            </w:r>
            <w:r w:rsidR="00AA2BE3">
              <w:rPr>
                <w:noProof/>
                <w:webHidden/>
              </w:rPr>
              <w:tab/>
            </w:r>
            <w:r w:rsidR="00AA2BE3">
              <w:rPr>
                <w:noProof/>
                <w:webHidden/>
              </w:rPr>
              <w:fldChar w:fldCharType="begin"/>
            </w:r>
            <w:r w:rsidR="00AA2BE3">
              <w:rPr>
                <w:noProof/>
                <w:webHidden/>
              </w:rPr>
              <w:instrText xml:space="preserve"> PAGEREF _Toc211953385 \h </w:instrText>
            </w:r>
            <w:r w:rsidR="00AA2BE3">
              <w:rPr>
                <w:noProof/>
                <w:webHidden/>
              </w:rPr>
            </w:r>
            <w:r w:rsidR="00AA2BE3">
              <w:rPr>
                <w:noProof/>
                <w:webHidden/>
              </w:rPr>
              <w:fldChar w:fldCharType="separate"/>
            </w:r>
            <w:r w:rsidR="00AA2BE3">
              <w:rPr>
                <w:noProof/>
                <w:webHidden/>
              </w:rPr>
              <w:t>5</w:t>
            </w:r>
            <w:r w:rsidR="00AA2BE3">
              <w:rPr>
                <w:noProof/>
                <w:webHidden/>
              </w:rPr>
              <w:fldChar w:fldCharType="end"/>
            </w:r>
          </w:hyperlink>
        </w:p>
        <w:p w14:paraId="37D45A49" w14:textId="19404421" w:rsidR="00AA2BE3" w:rsidRDefault="0055227E">
          <w:pPr>
            <w:pStyle w:val="TOC1"/>
            <w:rPr>
              <w:rFonts w:asciiTheme="minorHAnsi" w:eastAsiaTheme="minorEastAsia" w:hAnsiTheme="minorHAnsi"/>
              <w:noProof/>
              <w:sz w:val="22"/>
              <w:lang w:eastAsia="en-IE"/>
            </w:rPr>
          </w:pPr>
          <w:hyperlink w:anchor="_Toc211953386" w:history="1">
            <w:r w:rsidR="00AA2BE3" w:rsidRPr="0026100E">
              <w:rPr>
                <w:rStyle w:val="Hyperlink"/>
                <w:rFonts w:eastAsia="Times New Roman" w:cs="Arial"/>
                <w:noProof/>
                <w:lang w:val="en-US"/>
              </w:rPr>
              <w:t>Security Clearance</w:t>
            </w:r>
            <w:r w:rsidR="00AA2BE3">
              <w:rPr>
                <w:noProof/>
                <w:webHidden/>
              </w:rPr>
              <w:tab/>
            </w:r>
            <w:r w:rsidR="00AA2BE3">
              <w:rPr>
                <w:noProof/>
                <w:webHidden/>
              </w:rPr>
              <w:fldChar w:fldCharType="begin"/>
            </w:r>
            <w:r w:rsidR="00AA2BE3">
              <w:rPr>
                <w:noProof/>
                <w:webHidden/>
              </w:rPr>
              <w:instrText xml:space="preserve"> PAGEREF _Toc211953386 \h </w:instrText>
            </w:r>
            <w:r w:rsidR="00AA2BE3">
              <w:rPr>
                <w:noProof/>
                <w:webHidden/>
              </w:rPr>
            </w:r>
            <w:r w:rsidR="00AA2BE3">
              <w:rPr>
                <w:noProof/>
                <w:webHidden/>
              </w:rPr>
              <w:fldChar w:fldCharType="separate"/>
            </w:r>
            <w:r w:rsidR="00AA2BE3">
              <w:rPr>
                <w:noProof/>
                <w:webHidden/>
              </w:rPr>
              <w:t>5</w:t>
            </w:r>
            <w:r w:rsidR="00AA2BE3">
              <w:rPr>
                <w:noProof/>
                <w:webHidden/>
              </w:rPr>
              <w:fldChar w:fldCharType="end"/>
            </w:r>
          </w:hyperlink>
        </w:p>
        <w:p w14:paraId="68987E4E" w14:textId="771B6BF0" w:rsidR="00AA2BE3" w:rsidRDefault="0055227E">
          <w:pPr>
            <w:pStyle w:val="TOC1"/>
            <w:rPr>
              <w:rFonts w:asciiTheme="minorHAnsi" w:eastAsiaTheme="minorEastAsia" w:hAnsiTheme="minorHAnsi"/>
              <w:noProof/>
              <w:sz w:val="22"/>
              <w:lang w:eastAsia="en-IE"/>
            </w:rPr>
          </w:pPr>
          <w:hyperlink w:anchor="_Toc211953387" w:history="1">
            <w:r w:rsidR="00AA2BE3" w:rsidRPr="0026100E">
              <w:rPr>
                <w:rStyle w:val="Hyperlink"/>
                <w:rFonts w:cs="Arial"/>
                <w:noProof/>
              </w:rPr>
              <w:t>Review and Complaint Procedure (CPSA)</w:t>
            </w:r>
            <w:r w:rsidR="00AA2BE3">
              <w:rPr>
                <w:noProof/>
                <w:webHidden/>
              </w:rPr>
              <w:tab/>
            </w:r>
            <w:r w:rsidR="00AA2BE3">
              <w:rPr>
                <w:noProof/>
                <w:webHidden/>
              </w:rPr>
              <w:fldChar w:fldCharType="begin"/>
            </w:r>
            <w:r w:rsidR="00AA2BE3">
              <w:rPr>
                <w:noProof/>
                <w:webHidden/>
              </w:rPr>
              <w:instrText xml:space="preserve"> PAGEREF _Toc211953387 \h </w:instrText>
            </w:r>
            <w:r w:rsidR="00AA2BE3">
              <w:rPr>
                <w:noProof/>
                <w:webHidden/>
              </w:rPr>
            </w:r>
            <w:r w:rsidR="00AA2BE3">
              <w:rPr>
                <w:noProof/>
                <w:webHidden/>
              </w:rPr>
              <w:fldChar w:fldCharType="separate"/>
            </w:r>
            <w:r w:rsidR="00AA2BE3">
              <w:rPr>
                <w:noProof/>
                <w:webHidden/>
              </w:rPr>
              <w:t>5</w:t>
            </w:r>
            <w:r w:rsidR="00AA2BE3">
              <w:rPr>
                <w:noProof/>
                <w:webHidden/>
              </w:rPr>
              <w:fldChar w:fldCharType="end"/>
            </w:r>
          </w:hyperlink>
        </w:p>
        <w:p w14:paraId="3D3263BB" w14:textId="4B23D9C7" w:rsidR="00AA2BE3" w:rsidRDefault="0055227E">
          <w:pPr>
            <w:pStyle w:val="TOC1"/>
            <w:rPr>
              <w:rFonts w:asciiTheme="minorHAnsi" w:eastAsiaTheme="minorEastAsia" w:hAnsiTheme="minorHAnsi"/>
              <w:noProof/>
              <w:sz w:val="22"/>
              <w:lang w:eastAsia="en-IE"/>
            </w:rPr>
          </w:pPr>
          <w:hyperlink w:anchor="_Toc211953388" w:history="1">
            <w:r w:rsidR="00AA2BE3" w:rsidRPr="0026100E">
              <w:rPr>
                <w:rStyle w:val="Hyperlink"/>
                <w:rFonts w:cs="Arial"/>
                <w:noProof/>
              </w:rPr>
              <w:t>HSE Privacy Policy</w:t>
            </w:r>
            <w:r w:rsidR="00AA2BE3">
              <w:rPr>
                <w:noProof/>
                <w:webHidden/>
              </w:rPr>
              <w:tab/>
            </w:r>
            <w:r w:rsidR="00AA2BE3">
              <w:rPr>
                <w:noProof/>
                <w:webHidden/>
              </w:rPr>
              <w:fldChar w:fldCharType="begin"/>
            </w:r>
            <w:r w:rsidR="00AA2BE3">
              <w:rPr>
                <w:noProof/>
                <w:webHidden/>
              </w:rPr>
              <w:instrText xml:space="preserve"> PAGEREF _Toc211953388 \h </w:instrText>
            </w:r>
            <w:r w:rsidR="00AA2BE3">
              <w:rPr>
                <w:noProof/>
                <w:webHidden/>
              </w:rPr>
            </w:r>
            <w:r w:rsidR="00AA2BE3">
              <w:rPr>
                <w:noProof/>
                <w:webHidden/>
              </w:rPr>
              <w:fldChar w:fldCharType="separate"/>
            </w:r>
            <w:r w:rsidR="00AA2BE3">
              <w:rPr>
                <w:noProof/>
                <w:webHidden/>
              </w:rPr>
              <w:t>6</w:t>
            </w:r>
            <w:r w:rsidR="00AA2BE3">
              <w:rPr>
                <w:noProof/>
                <w:webHidden/>
              </w:rPr>
              <w:fldChar w:fldCharType="end"/>
            </w:r>
          </w:hyperlink>
        </w:p>
        <w:p w14:paraId="5128DE44" w14:textId="64200BBB" w:rsidR="00AA2BE3" w:rsidRDefault="0055227E">
          <w:pPr>
            <w:pStyle w:val="TOC1"/>
            <w:rPr>
              <w:rFonts w:asciiTheme="minorHAnsi" w:eastAsiaTheme="minorEastAsia" w:hAnsiTheme="minorHAnsi"/>
              <w:noProof/>
              <w:sz w:val="22"/>
              <w:lang w:eastAsia="en-IE"/>
            </w:rPr>
          </w:pPr>
          <w:hyperlink w:anchor="_Toc211953389" w:history="1">
            <w:r w:rsidR="00AA2BE3" w:rsidRPr="0026100E">
              <w:rPr>
                <w:rStyle w:val="Hyperlink"/>
                <w:noProof/>
              </w:rPr>
              <w:t>Superannuation / Pension Information</w:t>
            </w:r>
            <w:r w:rsidR="00AA2BE3">
              <w:rPr>
                <w:noProof/>
                <w:webHidden/>
              </w:rPr>
              <w:tab/>
            </w:r>
            <w:r w:rsidR="00AA2BE3">
              <w:rPr>
                <w:noProof/>
                <w:webHidden/>
              </w:rPr>
              <w:fldChar w:fldCharType="begin"/>
            </w:r>
            <w:r w:rsidR="00AA2BE3">
              <w:rPr>
                <w:noProof/>
                <w:webHidden/>
              </w:rPr>
              <w:instrText xml:space="preserve"> PAGEREF _Toc211953389 \h </w:instrText>
            </w:r>
            <w:r w:rsidR="00AA2BE3">
              <w:rPr>
                <w:noProof/>
                <w:webHidden/>
              </w:rPr>
            </w:r>
            <w:r w:rsidR="00AA2BE3">
              <w:rPr>
                <w:noProof/>
                <w:webHidden/>
              </w:rPr>
              <w:fldChar w:fldCharType="separate"/>
            </w:r>
            <w:r w:rsidR="00AA2BE3">
              <w:rPr>
                <w:noProof/>
                <w:webHidden/>
              </w:rPr>
              <w:t>6</w:t>
            </w:r>
            <w:r w:rsidR="00AA2BE3">
              <w:rPr>
                <w:noProof/>
                <w:webHidden/>
              </w:rPr>
              <w:fldChar w:fldCharType="end"/>
            </w:r>
          </w:hyperlink>
        </w:p>
        <w:p w14:paraId="27E3AEAC" w14:textId="27470E6D" w:rsidR="00AA2BE3" w:rsidRDefault="0055227E">
          <w:pPr>
            <w:pStyle w:val="TOC1"/>
            <w:rPr>
              <w:rFonts w:asciiTheme="minorHAnsi" w:eastAsiaTheme="minorEastAsia" w:hAnsiTheme="minorHAnsi"/>
              <w:noProof/>
              <w:sz w:val="22"/>
              <w:lang w:eastAsia="en-IE"/>
            </w:rPr>
          </w:pPr>
          <w:hyperlink w:anchor="_Toc211953390" w:history="1">
            <w:r w:rsidR="00AA2BE3" w:rsidRPr="0026100E">
              <w:rPr>
                <w:rStyle w:val="Hyperlink"/>
                <w:rFonts w:cs="Arial"/>
                <w:noProof/>
              </w:rPr>
              <w:t>Appendices: Supplementary recruitment and selection process information</w:t>
            </w:r>
            <w:r w:rsidR="00AA2BE3">
              <w:rPr>
                <w:noProof/>
                <w:webHidden/>
              </w:rPr>
              <w:tab/>
            </w:r>
            <w:r w:rsidR="00AA2BE3">
              <w:rPr>
                <w:noProof/>
                <w:webHidden/>
              </w:rPr>
              <w:fldChar w:fldCharType="begin"/>
            </w:r>
            <w:r w:rsidR="00AA2BE3">
              <w:rPr>
                <w:noProof/>
                <w:webHidden/>
              </w:rPr>
              <w:instrText xml:space="preserve"> PAGEREF _Toc211953390 \h </w:instrText>
            </w:r>
            <w:r w:rsidR="00AA2BE3">
              <w:rPr>
                <w:noProof/>
                <w:webHidden/>
              </w:rPr>
            </w:r>
            <w:r w:rsidR="00AA2BE3">
              <w:rPr>
                <w:noProof/>
                <w:webHidden/>
              </w:rPr>
              <w:fldChar w:fldCharType="separate"/>
            </w:r>
            <w:r w:rsidR="00AA2BE3">
              <w:rPr>
                <w:noProof/>
                <w:webHidden/>
              </w:rPr>
              <w:t>8</w:t>
            </w:r>
            <w:r w:rsidR="00AA2BE3">
              <w:rPr>
                <w:noProof/>
                <w:webHidden/>
              </w:rPr>
              <w:fldChar w:fldCharType="end"/>
            </w:r>
          </w:hyperlink>
        </w:p>
        <w:p w14:paraId="64B0B966" w14:textId="028EAD62" w:rsidR="00AA2BE3" w:rsidRDefault="0055227E">
          <w:pPr>
            <w:pStyle w:val="TOC2"/>
            <w:tabs>
              <w:tab w:val="right" w:leader="dot" w:pos="9288"/>
            </w:tabs>
            <w:rPr>
              <w:rFonts w:asciiTheme="minorHAnsi" w:eastAsiaTheme="minorEastAsia" w:hAnsiTheme="minorHAnsi"/>
              <w:noProof/>
              <w:sz w:val="22"/>
              <w:lang w:eastAsia="en-IE"/>
            </w:rPr>
          </w:pPr>
          <w:hyperlink w:anchor="_Toc211953391" w:history="1">
            <w:r w:rsidR="00AA2BE3" w:rsidRPr="0026100E">
              <w:rPr>
                <w:rStyle w:val="Hyperlink"/>
                <w:noProof/>
              </w:rPr>
              <w:t>Appendix 1: Eligibility Criteria</w:t>
            </w:r>
            <w:r w:rsidR="00AA2BE3">
              <w:rPr>
                <w:noProof/>
                <w:webHidden/>
              </w:rPr>
              <w:tab/>
            </w:r>
            <w:r w:rsidR="00AA2BE3">
              <w:rPr>
                <w:noProof/>
                <w:webHidden/>
              </w:rPr>
              <w:fldChar w:fldCharType="begin"/>
            </w:r>
            <w:r w:rsidR="00AA2BE3">
              <w:rPr>
                <w:noProof/>
                <w:webHidden/>
              </w:rPr>
              <w:instrText xml:space="preserve"> PAGEREF _Toc211953391 \h </w:instrText>
            </w:r>
            <w:r w:rsidR="00AA2BE3">
              <w:rPr>
                <w:noProof/>
                <w:webHidden/>
              </w:rPr>
            </w:r>
            <w:r w:rsidR="00AA2BE3">
              <w:rPr>
                <w:noProof/>
                <w:webHidden/>
              </w:rPr>
              <w:fldChar w:fldCharType="separate"/>
            </w:r>
            <w:r w:rsidR="00AA2BE3">
              <w:rPr>
                <w:noProof/>
                <w:webHidden/>
              </w:rPr>
              <w:t>8</w:t>
            </w:r>
            <w:r w:rsidR="00AA2BE3">
              <w:rPr>
                <w:noProof/>
                <w:webHidden/>
              </w:rPr>
              <w:fldChar w:fldCharType="end"/>
            </w:r>
          </w:hyperlink>
        </w:p>
        <w:p w14:paraId="6AC571BE" w14:textId="4267A011" w:rsidR="00AA2BE3" w:rsidRDefault="0055227E">
          <w:pPr>
            <w:pStyle w:val="TOC2"/>
            <w:tabs>
              <w:tab w:val="right" w:leader="dot" w:pos="9288"/>
            </w:tabs>
            <w:rPr>
              <w:rFonts w:asciiTheme="minorHAnsi" w:eastAsiaTheme="minorEastAsia" w:hAnsiTheme="minorHAnsi"/>
              <w:noProof/>
              <w:sz w:val="22"/>
              <w:lang w:eastAsia="en-IE"/>
            </w:rPr>
          </w:pPr>
          <w:hyperlink w:anchor="_Toc211953392" w:history="1">
            <w:r w:rsidR="00AA2BE3" w:rsidRPr="0026100E">
              <w:rPr>
                <w:rStyle w:val="Hyperlink"/>
                <w:noProof/>
              </w:rPr>
              <w:t>Appendix 2: EEA, Swiss, British and Non-EEA Applicants</w:t>
            </w:r>
            <w:r w:rsidR="00AA2BE3">
              <w:rPr>
                <w:noProof/>
                <w:webHidden/>
              </w:rPr>
              <w:tab/>
            </w:r>
            <w:r w:rsidR="00AA2BE3">
              <w:rPr>
                <w:noProof/>
                <w:webHidden/>
              </w:rPr>
              <w:fldChar w:fldCharType="begin"/>
            </w:r>
            <w:r w:rsidR="00AA2BE3">
              <w:rPr>
                <w:noProof/>
                <w:webHidden/>
              </w:rPr>
              <w:instrText xml:space="preserve"> PAGEREF _Toc211953392 \h </w:instrText>
            </w:r>
            <w:r w:rsidR="00AA2BE3">
              <w:rPr>
                <w:noProof/>
                <w:webHidden/>
              </w:rPr>
            </w:r>
            <w:r w:rsidR="00AA2BE3">
              <w:rPr>
                <w:noProof/>
                <w:webHidden/>
              </w:rPr>
              <w:fldChar w:fldCharType="separate"/>
            </w:r>
            <w:r w:rsidR="00AA2BE3">
              <w:rPr>
                <w:noProof/>
                <w:webHidden/>
              </w:rPr>
              <w:t>9</w:t>
            </w:r>
            <w:r w:rsidR="00AA2BE3">
              <w:rPr>
                <w:noProof/>
                <w:webHidden/>
              </w:rPr>
              <w:fldChar w:fldCharType="end"/>
            </w:r>
          </w:hyperlink>
        </w:p>
        <w:p w14:paraId="33A9713F" w14:textId="79F3E609" w:rsidR="00AA2BE3" w:rsidRDefault="0055227E">
          <w:pPr>
            <w:pStyle w:val="TOC2"/>
            <w:tabs>
              <w:tab w:val="right" w:leader="dot" w:pos="9288"/>
            </w:tabs>
            <w:rPr>
              <w:rFonts w:asciiTheme="minorHAnsi" w:eastAsiaTheme="minorEastAsia" w:hAnsiTheme="minorHAnsi"/>
              <w:noProof/>
              <w:sz w:val="22"/>
              <w:lang w:eastAsia="en-IE"/>
            </w:rPr>
          </w:pPr>
          <w:hyperlink w:anchor="_Toc211953393" w:history="1">
            <w:r w:rsidR="00AA2BE3" w:rsidRPr="0026100E">
              <w:rPr>
                <w:rStyle w:val="Hyperlink"/>
                <w:noProof/>
              </w:rPr>
              <w:t>Appendix 3: Clearances</w:t>
            </w:r>
            <w:r w:rsidR="00AA2BE3">
              <w:rPr>
                <w:noProof/>
                <w:webHidden/>
              </w:rPr>
              <w:tab/>
            </w:r>
            <w:r w:rsidR="00AA2BE3">
              <w:rPr>
                <w:noProof/>
                <w:webHidden/>
              </w:rPr>
              <w:fldChar w:fldCharType="begin"/>
            </w:r>
            <w:r w:rsidR="00AA2BE3">
              <w:rPr>
                <w:noProof/>
                <w:webHidden/>
              </w:rPr>
              <w:instrText xml:space="preserve"> PAGEREF _Toc211953393 \h </w:instrText>
            </w:r>
            <w:r w:rsidR="00AA2BE3">
              <w:rPr>
                <w:noProof/>
                <w:webHidden/>
              </w:rPr>
            </w:r>
            <w:r w:rsidR="00AA2BE3">
              <w:rPr>
                <w:noProof/>
                <w:webHidden/>
              </w:rPr>
              <w:fldChar w:fldCharType="separate"/>
            </w:r>
            <w:r w:rsidR="00AA2BE3">
              <w:rPr>
                <w:noProof/>
                <w:webHidden/>
              </w:rPr>
              <w:t>10</w:t>
            </w:r>
            <w:r w:rsidR="00AA2BE3">
              <w:rPr>
                <w:noProof/>
                <w:webHidden/>
              </w:rPr>
              <w:fldChar w:fldCharType="end"/>
            </w:r>
          </w:hyperlink>
        </w:p>
        <w:p w14:paraId="066A5508" w14:textId="5199592F" w:rsidR="00AA2BE3" w:rsidRDefault="0055227E">
          <w:pPr>
            <w:pStyle w:val="TOC2"/>
            <w:tabs>
              <w:tab w:val="right" w:leader="dot" w:pos="9288"/>
            </w:tabs>
            <w:rPr>
              <w:rFonts w:asciiTheme="minorHAnsi" w:eastAsiaTheme="minorEastAsia" w:hAnsiTheme="minorHAnsi"/>
              <w:noProof/>
              <w:sz w:val="22"/>
              <w:lang w:eastAsia="en-IE"/>
            </w:rPr>
          </w:pPr>
          <w:hyperlink w:anchor="_Toc211953394" w:history="1">
            <w:r w:rsidR="00AA2BE3" w:rsidRPr="0026100E">
              <w:rPr>
                <w:rStyle w:val="Hyperlink"/>
                <w:noProof/>
              </w:rPr>
              <w:t>Appendix: 4 Interview Reasonable Accommodation (RA) Requests Process Flowchart for Candidates</w:t>
            </w:r>
            <w:r w:rsidR="00AA2BE3">
              <w:rPr>
                <w:noProof/>
                <w:webHidden/>
              </w:rPr>
              <w:tab/>
            </w:r>
            <w:r w:rsidR="00AA2BE3">
              <w:rPr>
                <w:noProof/>
                <w:webHidden/>
              </w:rPr>
              <w:fldChar w:fldCharType="begin"/>
            </w:r>
            <w:r w:rsidR="00AA2BE3">
              <w:rPr>
                <w:noProof/>
                <w:webHidden/>
              </w:rPr>
              <w:instrText xml:space="preserve"> PAGEREF _Toc211953394 \h </w:instrText>
            </w:r>
            <w:r w:rsidR="00AA2BE3">
              <w:rPr>
                <w:noProof/>
                <w:webHidden/>
              </w:rPr>
            </w:r>
            <w:r w:rsidR="00AA2BE3">
              <w:rPr>
                <w:noProof/>
                <w:webHidden/>
              </w:rPr>
              <w:fldChar w:fldCharType="separate"/>
            </w:r>
            <w:r w:rsidR="00AA2BE3">
              <w:rPr>
                <w:noProof/>
                <w:webHidden/>
              </w:rPr>
              <w:t>11</w:t>
            </w:r>
            <w:r w:rsidR="00AA2BE3">
              <w:rPr>
                <w:noProof/>
                <w:webHidden/>
              </w:rPr>
              <w:fldChar w:fldCharType="end"/>
            </w:r>
          </w:hyperlink>
        </w:p>
        <w:p w14:paraId="384CD0E6" w14:textId="633FCAD9" w:rsidR="00AA2BE3" w:rsidRDefault="0055227E">
          <w:pPr>
            <w:pStyle w:val="TOC2"/>
            <w:tabs>
              <w:tab w:val="right" w:leader="dot" w:pos="9288"/>
            </w:tabs>
            <w:rPr>
              <w:rFonts w:asciiTheme="minorHAnsi" w:eastAsiaTheme="minorEastAsia" w:hAnsiTheme="minorHAnsi"/>
              <w:noProof/>
              <w:sz w:val="22"/>
              <w:lang w:eastAsia="en-IE"/>
            </w:rPr>
          </w:pPr>
          <w:hyperlink w:anchor="_Toc211953395" w:history="1">
            <w:r w:rsidR="00AA2BE3" w:rsidRPr="0026100E">
              <w:rPr>
                <w:rStyle w:val="Hyperlink"/>
                <w:noProof/>
              </w:rPr>
              <w:t>Appendix: 5 Panel Management Rules</w:t>
            </w:r>
            <w:r w:rsidR="00AA2BE3">
              <w:rPr>
                <w:noProof/>
                <w:webHidden/>
              </w:rPr>
              <w:tab/>
            </w:r>
            <w:r w:rsidR="00AA2BE3">
              <w:rPr>
                <w:noProof/>
                <w:webHidden/>
              </w:rPr>
              <w:fldChar w:fldCharType="begin"/>
            </w:r>
            <w:r w:rsidR="00AA2BE3">
              <w:rPr>
                <w:noProof/>
                <w:webHidden/>
              </w:rPr>
              <w:instrText xml:space="preserve"> PAGEREF _Toc211953395 \h </w:instrText>
            </w:r>
            <w:r w:rsidR="00AA2BE3">
              <w:rPr>
                <w:noProof/>
                <w:webHidden/>
              </w:rPr>
            </w:r>
            <w:r w:rsidR="00AA2BE3">
              <w:rPr>
                <w:noProof/>
                <w:webHidden/>
              </w:rPr>
              <w:fldChar w:fldCharType="separate"/>
            </w:r>
            <w:r w:rsidR="00AA2BE3">
              <w:rPr>
                <w:noProof/>
                <w:webHidden/>
              </w:rPr>
              <w:t>12</w:t>
            </w:r>
            <w:r w:rsidR="00AA2BE3">
              <w:rPr>
                <w:noProof/>
                <w:webHidden/>
              </w:rPr>
              <w:fldChar w:fldCharType="end"/>
            </w:r>
          </w:hyperlink>
        </w:p>
        <w:p w14:paraId="15561078" w14:textId="75F6DBD9"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1953375"/>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2" w:history="1">
        <w:r w:rsidRPr="00BB11C9">
          <w:rPr>
            <w:rStyle w:val="Hyperlink"/>
            <w:rFonts w:cs="Arial"/>
          </w:rPr>
          <w:t>on</w:t>
        </w:r>
      </w:hyperlink>
      <w:r w:rsidRPr="00691308">
        <w:rPr>
          <w:rFonts w:cs="Arial"/>
        </w:rPr>
        <w:t xml:space="preserve"> </w:t>
      </w:r>
      <w:hyperlink r:id="rId13"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1953376"/>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6EB7F26"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285B4F82"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0F6DEE">
        <w:rPr>
          <w:rFonts w:cs="Arial"/>
        </w:rPr>
        <w:t xml:space="preserve"> – 10am on </w:t>
      </w:r>
      <w:r w:rsidR="0055227E">
        <w:rPr>
          <w:rFonts w:cs="Arial"/>
        </w:rPr>
        <w:t>12</w:t>
      </w:r>
      <w:r w:rsidR="000F6DEE" w:rsidRPr="000F6DEE">
        <w:rPr>
          <w:rFonts w:cs="Arial"/>
          <w:vertAlign w:val="superscript"/>
        </w:rPr>
        <w:t>th</w:t>
      </w:r>
      <w:r w:rsidR="000F6DEE">
        <w:rPr>
          <w:rFonts w:cs="Arial"/>
        </w:rPr>
        <w:t xml:space="preserve"> November 2025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1195337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15662CA2" w:rsidR="006F0040" w:rsidRPr="000F6DEE" w:rsidRDefault="006F0040" w:rsidP="3CD97C2E">
      <w:pPr>
        <w:numPr>
          <w:ilvl w:val="0"/>
          <w:numId w:val="7"/>
        </w:numPr>
        <w:spacing w:before="240" w:after="0" w:line="240" w:lineRule="auto"/>
        <w:ind w:left="357" w:hanging="357"/>
        <w:rPr>
          <w:rFonts w:eastAsia="Times New Roman" w:cs="Arial"/>
          <w:lang w:eastAsia="en-IE"/>
        </w:rPr>
      </w:pPr>
      <w:r w:rsidRPr="000F6DEE">
        <w:rPr>
          <w:rFonts w:eastAsia="Times New Roman" w:cs="Arial"/>
          <w:color w:val="000000" w:themeColor="text1"/>
          <w:lang w:eastAsia="en-IE"/>
        </w:rPr>
        <w:t>Proposed inte</w:t>
      </w:r>
      <w:r w:rsidRPr="000F6DEE">
        <w:rPr>
          <w:rFonts w:eastAsiaTheme="minorEastAsia" w:cs="Arial"/>
          <w:color w:val="000000" w:themeColor="text1"/>
          <w:szCs w:val="20"/>
          <w:lang w:eastAsia="en-IE"/>
        </w:rPr>
        <w:t>rview dates will be</w:t>
      </w:r>
      <w:r w:rsidR="73CDA80B" w:rsidRPr="000F6DEE">
        <w:rPr>
          <w:rFonts w:eastAsiaTheme="minorEastAsia" w:cs="Arial"/>
          <w:color w:val="000000" w:themeColor="text1"/>
          <w:szCs w:val="20"/>
          <w:lang w:eastAsia="en-IE"/>
        </w:rPr>
        <w:t xml:space="preserve"> </w:t>
      </w:r>
      <w:r w:rsidRPr="000F6DEE">
        <w:rPr>
          <w:rFonts w:eastAsiaTheme="minorEastAsia" w:cs="Arial"/>
          <w:color w:val="000000" w:themeColor="text1"/>
          <w:szCs w:val="20"/>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1195337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55227E"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55227E"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55227E"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1195337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1195338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1195338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11953382"/>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lastRenderedPageBreak/>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11953383"/>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11953384"/>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1953385"/>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1953386"/>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11953387"/>
      <w:r>
        <w:rPr>
          <w:rFonts w:cs="Arial"/>
          <w:szCs w:val="20"/>
        </w:rPr>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lastRenderedPageBreak/>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11953388"/>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11953389"/>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lastRenderedPageBreak/>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11953390"/>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11953391"/>
      <w:bookmarkEnd w:id="16"/>
      <w:r w:rsidRPr="00BD636C">
        <w:t>Appendix 1: Eligibility Criteria</w:t>
      </w:r>
      <w:bookmarkEnd w:id="17"/>
    </w:p>
    <w:p w14:paraId="567F7BB0" w14:textId="77777777" w:rsidR="00CB41C6" w:rsidRDefault="00CB41C6" w:rsidP="00CB41C6">
      <w:pPr>
        <w:pStyle w:val="Default"/>
        <w:rPr>
          <w:sz w:val="20"/>
          <w:szCs w:val="20"/>
          <w:lang w:val="en-US"/>
        </w:rPr>
      </w:pPr>
      <w:r w:rsidRPr="00864F68">
        <w:rPr>
          <w:sz w:val="20"/>
          <w:szCs w:val="20"/>
          <w:lang w:val="en-US"/>
        </w:rPr>
        <w:t>Candidates must on the closing date:</w:t>
      </w:r>
    </w:p>
    <w:p w14:paraId="73B905FF" w14:textId="77777777" w:rsidR="00CB41C6" w:rsidRPr="00143721" w:rsidRDefault="00CB41C6" w:rsidP="00CB41C6">
      <w:pPr>
        <w:pStyle w:val="Default"/>
        <w:rPr>
          <w:sz w:val="20"/>
          <w:szCs w:val="20"/>
          <w:lang w:val="en-US"/>
        </w:rPr>
      </w:pPr>
    </w:p>
    <w:p w14:paraId="1C27F988" w14:textId="77777777" w:rsidR="00CB41C6" w:rsidRPr="0038029D" w:rsidRDefault="00CB41C6" w:rsidP="00CB41C6">
      <w:pPr>
        <w:rPr>
          <w:rFonts w:cs="Arial"/>
          <w:b/>
          <w:bCs/>
        </w:rPr>
      </w:pPr>
      <w:r w:rsidRPr="0038029D">
        <w:rPr>
          <w:rFonts w:cs="Arial"/>
          <w:b/>
          <w:bCs/>
        </w:rPr>
        <w:t>Statutory Registration, Professional Qualifications, Experience, etc.</w:t>
      </w:r>
    </w:p>
    <w:p w14:paraId="449C8D7B" w14:textId="77777777" w:rsidR="00CB41C6" w:rsidRDefault="00CB41C6" w:rsidP="00CB41C6">
      <w:pPr>
        <w:pStyle w:val="Default"/>
        <w:rPr>
          <w:sz w:val="20"/>
          <w:szCs w:val="20"/>
        </w:rPr>
      </w:pPr>
      <w:r w:rsidRPr="00E10933">
        <w:rPr>
          <w:sz w:val="20"/>
          <w:szCs w:val="20"/>
        </w:rPr>
        <w:t>Eligible applicants will be those who on the closing date for the competition:</w:t>
      </w:r>
    </w:p>
    <w:p w14:paraId="44EC6E91" w14:textId="77777777" w:rsidR="00CB41C6" w:rsidRDefault="00CB41C6" w:rsidP="00CB41C6">
      <w:pPr>
        <w:pStyle w:val="Default"/>
        <w:rPr>
          <w:sz w:val="20"/>
          <w:szCs w:val="20"/>
        </w:rPr>
      </w:pPr>
      <w:r w:rsidRPr="00E10933">
        <w:rPr>
          <w:sz w:val="20"/>
          <w:szCs w:val="20"/>
        </w:rPr>
        <w:t>(i) Hold a qualification in Phlebotomy on the National Framework of Qualifications (NFQ)</w:t>
      </w:r>
      <w:r>
        <w:rPr>
          <w:sz w:val="20"/>
          <w:szCs w:val="20"/>
        </w:rPr>
        <w:t xml:space="preserve"> </w:t>
      </w:r>
      <w:r w:rsidRPr="00E10933">
        <w:rPr>
          <w:sz w:val="20"/>
          <w:szCs w:val="20"/>
        </w:rPr>
        <w:t>maintained by Quality and Qualifications Ireland</w:t>
      </w:r>
      <w:r>
        <w:rPr>
          <w:sz w:val="20"/>
          <w:szCs w:val="20"/>
        </w:rPr>
        <w:t xml:space="preserve"> </w:t>
      </w:r>
      <w:r w:rsidRPr="00E10933">
        <w:rPr>
          <w:sz w:val="20"/>
          <w:szCs w:val="20"/>
        </w:rPr>
        <w:t>(QQI) at Level 6 or higher and have a</w:t>
      </w:r>
      <w:r>
        <w:rPr>
          <w:sz w:val="20"/>
          <w:szCs w:val="20"/>
        </w:rPr>
        <w:t xml:space="preserve"> </w:t>
      </w:r>
      <w:r w:rsidRPr="00E10933">
        <w:rPr>
          <w:sz w:val="20"/>
          <w:szCs w:val="20"/>
        </w:rPr>
        <w:t>minimum of three years full-time or</w:t>
      </w:r>
      <w:r>
        <w:rPr>
          <w:sz w:val="20"/>
          <w:szCs w:val="20"/>
        </w:rPr>
        <w:t xml:space="preserve"> </w:t>
      </w:r>
      <w:r w:rsidRPr="00E10933">
        <w:rPr>
          <w:sz w:val="20"/>
          <w:szCs w:val="20"/>
        </w:rPr>
        <w:t>an aggregate of three years fulltime current and</w:t>
      </w:r>
      <w:r>
        <w:rPr>
          <w:sz w:val="20"/>
          <w:szCs w:val="20"/>
        </w:rPr>
        <w:t xml:space="preserve"> </w:t>
      </w:r>
      <w:r w:rsidRPr="00E10933">
        <w:rPr>
          <w:sz w:val="20"/>
          <w:szCs w:val="20"/>
        </w:rPr>
        <w:t>relevant experience as a phlebotomist.</w:t>
      </w:r>
    </w:p>
    <w:p w14:paraId="3D5A8412" w14:textId="77777777" w:rsidR="00CB41C6" w:rsidRPr="00143721" w:rsidRDefault="00CB41C6" w:rsidP="00CB41C6">
      <w:pPr>
        <w:pStyle w:val="Default"/>
        <w:spacing w:line="360" w:lineRule="auto"/>
        <w:jc w:val="center"/>
        <w:rPr>
          <w:b/>
          <w:bCs/>
          <w:sz w:val="20"/>
          <w:szCs w:val="20"/>
        </w:rPr>
      </w:pPr>
      <w:r w:rsidRPr="00143721">
        <w:rPr>
          <w:b/>
          <w:bCs/>
          <w:sz w:val="20"/>
          <w:szCs w:val="20"/>
        </w:rPr>
        <w:t>OR</w:t>
      </w:r>
    </w:p>
    <w:p w14:paraId="548986BF" w14:textId="77777777" w:rsidR="00CB41C6" w:rsidRDefault="00CB41C6" w:rsidP="00CB41C6">
      <w:pPr>
        <w:pStyle w:val="Default"/>
        <w:rPr>
          <w:sz w:val="20"/>
          <w:szCs w:val="20"/>
        </w:rPr>
      </w:pPr>
      <w:r>
        <w:rPr>
          <w:sz w:val="20"/>
          <w:szCs w:val="20"/>
        </w:rPr>
        <w:t>(ii) H</w:t>
      </w:r>
      <w:r w:rsidRPr="00BB1B0B">
        <w:rPr>
          <w:sz w:val="20"/>
          <w:szCs w:val="20"/>
        </w:rPr>
        <w:t>old the Certificate in Phlebotomy from DIT/DCU/National Ambulance Service College or</w:t>
      </w:r>
      <w:r>
        <w:rPr>
          <w:sz w:val="20"/>
          <w:szCs w:val="20"/>
        </w:rPr>
        <w:t xml:space="preserve"> </w:t>
      </w:r>
      <w:r w:rsidRPr="00BB1B0B">
        <w:rPr>
          <w:sz w:val="20"/>
          <w:szCs w:val="20"/>
        </w:rPr>
        <w:t>equivalent Phlebotomy qualification and have a minimum of three years full-time or an</w:t>
      </w:r>
      <w:r>
        <w:rPr>
          <w:sz w:val="20"/>
          <w:szCs w:val="20"/>
        </w:rPr>
        <w:t xml:space="preserve"> </w:t>
      </w:r>
      <w:r w:rsidRPr="00BB1B0B">
        <w:rPr>
          <w:sz w:val="20"/>
          <w:szCs w:val="20"/>
        </w:rPr>
        <w:t>aggregate of three years full</w:t>
      </w:r>
      <w:r>
        <w:rPr>
          <w:sz w:val="20"/>
          <w:szCs w:val="20"/>
        </w:rPr>
        <w:t>-</w:t>
      </w:r>
      <w:r w:rsidRPr="00BB1B0B">
        <w:rPr>
          <w:sz w:val="20"/>
          <w:szCs w:val="20"/>
        </w:rPr>
        <w:t>time current and relevant experience as a phlebotomist</w:t>
      </w:r>
      <w:r>
        <w:rPr>
          <w:sz w:val="20"/>
          <w:szCs w:val="20"/>
        </w:rPr>
        <w:t>.</w:t>
      </w:r>
    </w:p>
    <w:p w14:paraId="3B032FEB" w14:textId="77777777" w:rsidR="00CB41C6" w:rsidRPr="00143721" w:rsidRDefault="00CB41C6" w:rsidP="00CB41C6">
      <w:pPr>
        <w:pStyle w:val="Default"/>
        <w:spacing w:line="360" w:lineRule="auto"/>
        <w:jc w:val="center"/>
        <w:rPr>
          <w:b/>
          <w:bCs/>
          <w:sz w:val="20"/>
          <w:szCs w:val="20"/>
        </w:rPr>
      </w:pPr>
      <w:r w:rsidRPr="00143721">
        <w:rPr>
          <w:b/>
          <w:bCs/>
          <w:sz w:val="20"/>
          <w:szCs w:val="20"/>
        </w:rPr>
        <w:t>OR</w:t>
      </w:r>
    </w:p>
    <w:p w14:paraId="04521EBF" w14:textId="77777777" w:rsidR="00CB41C6" w:rsidRDefault="00CB41C6" w:rsidP="00CB41C6">
      <w:pPr>
        <w:pStyle w:val="Default"/>
        <w:rPr>
          <w:sz w:val="20"/>
          <w:szCs w:val="20"/>
        </w:rPr>
      </w:pPr>
      <w:r>
        <w:rPr>
          <w:sz w:val="20"/>
          <w:szCs w:val="20"/>
        </w:rPr>
        <w:t>(iii) B</w:t>
      </w:r>
      <w:r w:rsidRPr="00BB1B0B">
        <w:rPr>
          <w:sz w:val="20"/>
          <w:szCs w:val="20"/>
        </w:rPr>
        <w:t>e registered as a nurse or midwife on the active register maintained by an Bord Altranais</w:t>
      </w:r>
      <w:r>
        <w:rPr>
          <w:sz w:val="20"/>
          <w:szCs w:val="20"/>
        </w:rPr>
        <w:t xml:space="preserve"> </w:t>
      </w:r>
      <w:r w:rsidRPr="00BB1B0B">
        <w:rPr>
          <w:sz w:val="20"/>
          <w:szCs w:val="20"/>
        </w:rPr>
        <w:t>agus Cnáimhseachais na hÉireann (Nursing &amp; Midwifery Board of Ireland) or be entitled to</w:t>
      </w:r>
      <w:r>
        <w:rPr>
          <w:sz w:val="20"/>
          <w:szCs w:val="20"/>
        </w:rPr>
        <w:t xml:space="preserve"> </w:t>
      </w:r>
      <w:r w:rsidRPr="00BB1B0B">
        <w:rPr>
          <w:sz w:val="20"/>
          <w:szCs w:val="20"/>
        </w:rPr>
        <w:t>be so registered and have a minimum of three years full-time or an aggregate of three</w:t>
      </w:r>
      <w:r>
        <w:rPr>
          <w:sz w:val="20"/>
          <w:szCs w:val="20"/>
        </w:rPr>
        <w:t xml:space="preserve"> </w:t>
      </w:r>
      <w:r w:rsidRPr="00BB1B0B">
        <w:rPr>
          <w:sz w:val="20"/>
          <w:szCs w:val="20"/>
        </w:rPr>
        <w:t>years fulltime current and relevant experience as a phlebotomist</w:t>
      </w:r>
      <w:r>
        <w:rPr>
          <w:sz w:val="20"/>
          <w:szCs w:val="20"/>
        </w:rPr>
        <w:t>.</w:t>
      </w:r>
    </w:p>
    <w:p w14:paraId="5D7226BA" w14:textId="77777777" w:rsidR="00CB41C6" w:rsidRPr="00143721" w:rsidRDefault="00CB41C6" w:rsidP="00CB41C6">
      <w:pPr>
        <w:pStyle w:val="Default"/>
        <w:spacing w:line="360" w:lineRule="auto"/>
        <w:jc w:val="center"/>
        <w:rPr>
          <w:b/>
          <w:bCs/>
        </w:rPr>
      </w:pPr>
      <w:r w:rsidRPr="00143721">
        <w:rPr>
          <w:b/>
          <w:bCs/>
          <w:sz w:val="20"/>
          <w:szCs w:val="20"/>
        </w:rPr>
        <w:t>OR</w:t>
      </w:r>
    </w:p>
    <w:p w14:paraId="7F44A740" w14:textId="77777777" w:rsidR="00CB41C6" w:rsidRDefault="00CB41C6" w:rsidP="00CB41C6">
      <w:pPr>
        <w:pStyle w:val="Default"/>
        <w:rPr>
          <w:sz w:val="20"/>
          <w:szCs w:val="20"/>
        </w:rPr>
      </w:pPr>
      <w:r>
        <w:rPr>
          <w:sz w:val="20"/>
          <w:szCs w:val="20"/>
        </w:rPr>
        <w:t>(iv) E</w:t>
      </w:r>
      <w:r w:rsidRPr="00143721">
        <w:rPr>
          <w:sz w:val="20"/>
          <w:szCs w:val="20"/>
        </w:rPr>
        <w:t>ffective to 30th April 2022; be currently employed as a Phlebotomist without satisfying (i), (ii) or (iii) above in an acute Hospital (general or Specialist) and have a minimum of three years full-time or an aggregate of three years full-time current and relevant experience as a Phlebotomist. See Note 1*</w:t>
      </w:r>
    </w:p>
    <w:p w14:paraId="07D141DB" w14:textId="77777777" w:rsidR="00CB41C6" w:rsidRPr="00143721" w:rsidRDefault="00CB41C6" w:rsidP="00CB41C6">
      <w:pPr>
        <w:pStyle w:val="Default"/>
        <w:spacing w:line="360" w:lineRule="auto"/>
        <w:jc w:val="center"/>
        <w:rPr>
          <w:b/>
          <w:bCs/>
          <w:sz w:val="20"/>
          <w:szCs w:val="20"/>
        </w:rPr>
      </w:pPr>
      <w:r w:rsidRPr="00143721">
        <w:rPr>
          <w:b/>
          <w:bCs/>
          <w:sz w:val="20"/>
          <w:szCs w:val="20"/>
        </w:rPr>
        <w:t>OR</w:t>
      </w:r>
    </w:p>
    <w:p w14:paraId="01D82EED" w14:textId="77777777" w:rsidR="00CB41C6" w:rsidRPr="00143721" w:rsidRDefault="00CB41C6" w:rsidP="00CB41C6">
      <w:pPr>
        <w:pStyle w:val="Default"/>
        <w:rPr>
          <w:bCs/>
          <w:sz w:val="16"/>
          <w:szCs w:val="16"/>
        </w:rPr>
      </w:pPr>
      <w:r>
        <w:rPr>
          <w:sz w:val="20"/>
          <w:szCs w:val="20"/>
        </w:rPr>
        <w:t>(v) W</w:t>
      </w:r>
      <w:r w:rsidRPr="00143721">
        <w:rPr>
          <w:sz w:val="20"/>
          <w:szCs w:val="20"/>
        </w:rPr>
        <w:t>ith effect from 1st May 2022; be employed as a Phlebotomist without satisfying (i), (ii) or (iii) above in an acute Hospital (general or Specialist) and have a minimum of five years full-time or an aggregate of five years full-time current and relevant experience as a Phlebotomist. See Note 1*.</w:t>
      </w:r>
    </w:p>
    <w:p w14:paraId="5D8CEEB2" w14:textId="77777777" w:rsidR="00CB41C6" w:rsidRPr="00143721" w:rsidRDefault="00CB41C6" w:rsidP="00CB41C6">
      <w:pPr>
        <w:pStyle w:val="Default"/>
        <w:spacing w:line="360" w:lineRule="auto"/>
        <w:jc w:val="center"/>
        <w:rPr>
          <w:b/>
          <w:bCs/>
          <w:sz w:val="20"/>
          <w:szCs w:val="20"/>
        </w:rPr>
      </w:pPr>
      <w:r w:rsidRPr="00143721">
        <w:rPr>
          <w:b/>
          <w:bCs/>
          <w:sz w:val="20"/>
          <w:szCs w:val="20"/>
        </w:rPr>
        <w:t>AND</w:t>
      </w:r>
    </w:p>
    <w:p w14:paraId="02AE1024" w14:textId="77777777" w:rsidR="00CB41C6" w:rsidRDefault="00CB41C6" w:rsidP="00CB41C6">
      <w:pPr>
        <w:pStyle w:val="Default"/>
        <w:rPr>
          <w:sz w:val="20"/>
          <w:szCs w:val="20"/>
        </w:rPr>
      </w:pPr>
      <w:r w:rsidRPr="00BB1B0B">
        <w:rPr>
          <w:sz w:val="20"/>
          <w:szCs w:val="20"/>
        </w:rPr>
        <w:t>Candidates must have the clinical/scientific/technical and administrative capacity to fulfil the functions of the role.</w:t>
      </w:r>
    </w:p>
    <w:p w14:paraId="6AADE7A7" w14:textId="77777777" w:rsidR="00CB41C6" w:rsidRDefault="00CB41C6" w:rsidP="00CB41C6">
      <w:pPr>
        <w:pStyle w:val="Default"/>
        <w:rPr>
          <w:sz w:val="20"/>
          <w:szCs w:val="20"/>
        </w:rPr>
      </w:pPr>
    </w:p>
    <w:p w14:paraId="2C9CE2D0" w14:textId="77777777" w:rsidR="00CB41C6" w:rsidRPr="00143721" w:rsidRDefault="00CB41C6" w:rsidP="00CB41C6">
      <w:pPr>
        <w:pStyle w:val="Default"/>
        <w:rPr>
          <w:b/>
          <w:bCs/>
          <w:sz w:val="16"/>
          <w:szCs w:val="16"/>
        </w:rPr>
      </w:pPr>
      <w:r w:rsidRPr="00143721">
        <w:rPr>
          <w:b/>
          <w:bCs/>
          <w:sz w:val="20"/>
          <w:szCs w:val="20"/>
        </w:rPr>
        <w:t>Note 1*: Candidates for appointment under (iv) and (v) must, if they do not satisfy requirements specified in a), (i) or (ii) give a contractual undertaking to undertake such a qualification within a 12 month period (subject to availability of courses) of appointment as a senior phlebotomist.</w:t>
      </w:r>
    </w:p>
    <w:p w14:paraId="19B61AAF" w14:textId="77777777" w:rsidR="00CB41C6" w:rsidRDefault="00CB41C6" w:rsidP="00CB41C6">
      <w:pPr>
        <w:pStyle w:val="Default"/>
        <w:rPr>
          <w:sz w:val="20"/>
          <w:szCs w:val="20"/>
        </w:rPr>
      </w:pPr>
    </w:p>
    <w:p w14:paraId="7A2A6C3C" w14:textId="77777777" w:rsidR="00CB41C6" w:rsidRPr="000B3884" w:rsidRDefault="00CB41C6" w:rsidP="00CB41C6">
      <w:pPr>
        <w:pStyle w:val="Default"/>
        <w:rPr>
          <w:b/>
          <w:bCs/>
          <w:sz w:val="20"/>
          <w:szCs w:val="20"/>
        </w:rPr>
      </w:pPr>
      <w:r>
        <w:rPr>
          <w:b/>
          <w:bCs/>
          <w:sz w:val="20"/>
          <w:szCs w:val="20"/>
        </w:rPr>
        <w:t>Annual Registration (</w:t>
      </w:r>
      <w:r>
        <w:rPr>
          <w:b/>
          <w:bCs/>
          <w:i/>
          <w:iCs/>
          <w:sz w:val="20"/>
          <w:szCs w:val="20"/>
        </w:rPr>
        <w:t>Nurse/Midwife applicants only</w:t>
      </w:r>
      <w:r>
        <w:rPr>
          <w:b/>
          <w:bCs/>
          <w:sz w:val="20"/>
          <w:szCs w:val="20"/>
        </w:rPr>
        <w:t>)</w:t>
      </w:r>
    </w:p>
    <w:p w14:paraId="488730A2" w14:textId="77777777" w:rsidR="00CB41C6" w:rsidRDefault="00CB41C6" w:rsidP="00CB41C6">
      <w:pPr>
        <w:pStyle w:val="Default"/>
        <w:rPr>
          <w:sz w:val="20"/>
          <w:szCs w:val="20"/>
        </w:rPr>
      </w:pPr>
      <w:r w:rsidRPr="00E10933">
        <w:rPr>
          <w:sz w:val="20"/>
          <w:szCs w:val="20"/>
        </w:rPr>
        <w:t xml:space="preserve">(i) </w:t>
      </w:r>
      <w:r>
        <w:rPr>
          <w:sz w:val="20"/>
          <w:szCs w:val="20"/>
        </w:rPr>
        <w:t xml:space="preserve">Nurse/Midwife Phlebotomists must </w:t>
      </w:r>
      <w:r w:rsidRPr="00143721">
        <w:rPr>
          <w:sz w:val="20"/>
          <w:szCs w:val="20"/>
        </w:rPr>
        <w:t>maintain live annual registration in the general division of the Nurses &amp; Midwives Register maintained by the Nursing and Midwifery Board of Ireland [NMBI] (Bord Altranais agus Cnáimhseachais na hÉireann</w:t>
      </w:r>
      <w:r>
        <w:rPr>
          <w:sz w:val="20"/>
          <w:szCs w:val="20"/>
        </w:rPr>
        <w:t>).</w:t>
      </w:r>
    </w:p>
    <w:p w14:paraId="549AECE9" w14:textId="7180E0C8" w:rsidR="00CB41C6" w:rsidRDefault="00CB41C6" w:rsidP="00CB41C6">
      <w:pPr>
        <w:spacing w:before="240" w:after="120" w:line="240" w:lineRule="auto"/>
        <w:jc w:val="center"/>
        <w:rPr>
          <w:szCs w:val="20"/>
        </w:rPr>
      </w:pPr>
      <w:r>
        <w:rPr>
          <w:b/>
          <w:bCs/>
          <w:szCs w:val="20"/>
        </w:rPr>
        <w:t>AND</w:t>
      </w:r>
    </w:p>
    <w:p w14:paraId="0C223F29" w14:textId="77777777" w:rsidR="00CB41C6" w:rsidRPr="00CB41C6" w:rsidRDefault="00CB41C6" w:rsidP="00CB41C6">
      <w:pPr>
        <w:autoSpaceDE w:val="0"/>
        <w:autoSpaceDN w:val="0"/>
        <w:adjustRightInd w:val="0"/>
        <w:spacing w:after="0" w:line="240" w:lineRule="auto"/>
        <w:rPr>
          <w:rFonts w:eastAsia="Calibri" w:cs="Arial"/>
          <w:color w:val="000000"/>
          <w:szCs w:val="20"/>
          <w:lang w:val="en-GB"/>
        </w:rPr>
      </w:pPr>
      <w:r w:rsidRPr="00CB41C6">
        <w:rPr>
          <w:rFonts w:eastAsia="Calibri" w:cs="Arial"/>
          <w:color w:val="000000"/>
          <w:szCs w:val="20"/>
          <w:lang w:val="en-GB"/>
        </w:rPr>
        <w:t>(ii) Nurse/Midwife Phlebotomists must confirm annual registration with NMBI to the HSE by way of the annual Patient Safety Assurance Certificate (PSAC).</w:t>
      </w:r>
    </w:p>
    <w:p w14:paraId="18DDCEB4" w14:textId="77777777" w:rsidR="00CB41C6" w:rsidRPr="00CB41C6" w:rsidRDefault="00CB41C6" w:rsidP="00CB41C6">
      <w:pPr>
        <w:spacing w:after="0" w:line="240" w:lineRule="auto"/>
        <w:rPr>
          <w:rFonts w:eastAsia="Times New Roman" w:cs="Arial"/>
          <w:szCs w:val="20"/>
          <w:lang w:val="en-GB" w:eastAsia="en-GB"/>
        </w:rPr>
      </w:pPr>
    </w:p>
    <w:p w14:paraId="104F9BD2" w14:textId="77777777" w:rsidR="00CB41C6" w:rsidRPr="00CB41C6" w:rsidRDefault="00CB41C6" w:rsidP="00CB41C6">
      <w:pPr>
        <w:spacing w:after="0" w:line="240" w:lineRule="auto"/>
        <w:rPr>
          <w:rFonts w:eastAsia="Times New Roman" w:cs="Arial"/>
          <w:b/>
          <w:szCs w:val="20"/>
          <w:lang w:val="en-GB" w:eastAsia="en-GB"/>
        </w:rPr>
      </w:pPr>
      <w:r w:rsidRPr="00CB41C6">
        <w:rPr>
          <w:rFonts w:eastAsia="Times New Roman" w:cs="Arial"/>
          <w:b/>
          <w:szCs w:val="20"/>
          <w:lang w:val="en-GB" w:eastAsia="en-GB"/>
        </w:rPr>
        <w:t>Health</w:t>
      </w:r>
    </w:p>
    <w:p w14:paraId="59198541" w14:textId="77777777" w:rsidR="00CB41C6" w:rsidRPr="00CB41C6" w:rsidRDefault="00CB41C6" w:rsidP="00CB41C6">
      <w:pPr>
        <w:spacing w:after="0" w:line="240" w:lineRule="auto"/>
        <w:rPr>
          <w:rFonts w:eastAsia="Times New Roman" w:cs="Arial"/>
          <w:szCs w:val="20"/>
          <w:lang w:val="en-GB" w:eastAsia="en-GB"/>
        </w:rPr>
      </w:pPr>
      <w:r w:rsidRPr="00CB41C6">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319F0C5" w14:textId="77777777" w:rsidR="00CB41C6" w:rsidRPr="00CB41C6" w:rsidRDefault="00CB41C6" w:rsidP="00CB41C6">
      <w:pPr>
        <w:spacing w:after="0" w:line="240" w:lineRule="auto"/>
        <w:rPr>
          <w:rFonts w:eastAsia="Times New Roman" w:cs="Arial"/>
          <w:szCs w:val="20"/>
          <w:lang w:val="en-GB" w:eastAsia="en-GB"/>
        </w:rPr>
      </w:pPr>
    </w:p>
    <w:p w14:paraId="55368D75" w14:textId="77777777" w:rsidR="00CB41C6" w:rsidRPr="00CB41C6" w:rsidRDefault="00CB41C6" w:rsidP="00CB41C6">
      <w:pPr>
        <w:spacing w:after="0" w:line="240" w:lineRule="auto"/>
        <w:ind w:right="-766"/>
        <w:rPr>
          <w:rFonts w:eastAsia="Times New Roman" w:cs="Arial"/>
          <w:iCs/>
          <w:szCs w:val="20"/>
          <w:lang w:val="en-GB" w:eastAsia="en-GB"/>
        </w:rPr>
      </w:pPr>
      <w:r w:rsidRPr="00CB41C6">
        <w:rPr>
          <w:rFonts w:eastAsia="Times New Roman" w:cs="Arial"/>
          <w:b/>
          <w:bCs/>
          <w:szCs w:val="20"/>
          <w:lang w:val="en-GB" w:eastAsia="en-GB"/>
        </w:rPr>
        <w:t>Character</w:t>
      </w:r>
    </w:p>
    <w:p w14:paraId="28DD9DD1" w14:textId="77777777" w:rsidR="00CB41C6" w:rsidRPr="00CB41C6" w:rsidRDefault="00CB41C6" w:rsidP="00CB41C6">
      <w:pPr>
        <w:spacing w:after="0" w:line="240" w:lineRule="auto"/>
        <w:ind w:right="-766"/>
        <w:rPr>
          <w:rFonts w:eastAsia="Times New Roman" w:cs="Arial"/>
          <w:szCs w:val="20"/>
          <w:lang w:val="en-GB" w:eastAsia="en-GB"/>
        </w:rPr>
      </w:pPr>
      <w:r w:rsidRPr="00CB41C6">
        <w:rPr>
          <w:rFonts w:eastAsia="Times New Roman" w:cs="Arial"/>
          <w:szCs w:val="20"/>
          <w:lang w:val="en-GB" w:eastAsia="en-GB"/>
        </w:rPr>
        <w:t>Each candidate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32B775D9" w14:textId="6BC851CF" w:rsidR="006F0040" w:rsidRPr="00CB41C6" w:rsidRDefault="006F0040" w:rsidP="00CB41C6">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4330D435" w14:textId="77777777" w:rsidR="006F0040" w:rsidRPr="002E719E" w:rsidRDefault="006F0040" w:rsidP="006F0040">
      <w:pPr>
        <w:pStyle w:val="Heading2"/>
      </w:pPr>
      <w:bookmarkStart w:id="18" w:name="_Appendix_2:_Applicant"/>
      <w:bookmarkStart w:id="19" w:name="_Toc211953392"/>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11953393"/>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55227E"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55227E"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55227E"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55227E"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11953394"/>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3A9D6A89" w:rsidR="006F0040" w:rsidRDefault="006F0040" w:rsidP="006F0040"/>
    <w:p w14:paraId="440CE81B" w14:textId="3E312196" w:rsidR="00CB41C6" w:rsidRDefault="00CB41C6" w:rsidP="006F0040"/>
    <w:p w14:paraId="7DE23FCB" w14:textId="1C70EAE4" w:rsidR="00CB41C6" w:rsidRDefault="00CB41C6" w:rsidP="006F0040"/>
    <w:p w14:paraId="32EFEB9F" w14:textId="77777777" w:rsidR="00CB41C6" w:rsidRDefault="00CB41C6" w:rsidP="006F0040"/>
    <w:p w14:paraId="05891266" w14:textId="77777777" w:rsidR="006F0040" w:rsidRDefault="006F0040" w:rsidP="006F0040">
      <w:pPr>
        <w:pStyle w:val="Heading2"/>
      </w:pPr>
      <w:bookmarkStart w:id="25" w:name="_Appendix:_5_Panel"/>
      <w:bookmarkStart w:id="26" w:name="_Toc211953395"/>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01DA4"/>
    <w:rsid w:val="000F6DEE"/>
    <w:rsid w:val="00430805"/>
    <w:rsid w:val="0055227E"/>
    <w:rsid w:val="006F0040"/>
    <w:rsid w:val="00A21349"/>
    <w:rsid w:val="00AA2BE3"/>
    <w:rsid w:val="00BE78EC"/>
    <w:rsid w:val="00CB41C6"/>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terprise.gov.ie/en/what-we-do/workplace-and-skills/employment-permits/employment-permit-eligibility/labour-market-needs-test/"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forms.qqi.ie/naric/award-queries" TargetMode="External"/><Relationship Id="rId21" Type="http://schemas.openxmlformats.org/officeDocument/2006/relationships/hyperlink" Target="https://about.hse.ie/jobs/job-search/"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on"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guh@hse.ie"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afp.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99CEA875-3516-4F70-9B99-4979747E754E}">
  <ds:schemaRefs>
    <ds:schemaRef ds:uri="http://schemas.openxmlformats.org/officeDocument/2006/bibliography"/>
  </ds:schemaRefs>
</ds:datastoreItem>
</file>

<file path=customXml/itemProps4.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6037</Words>
  <Characters>34413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4</cp:revision>
  <dcterms:created xsi:type="dcterms:W3CDTF">2025-10-21T14:35:00Z</dcterms:created>
  <dcterms:modified xsi:type="dcterms:W3CDTF">2025-10-28T12:20:00Z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