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723F6DCC" w:rsidR="006F0040" w:rsidRPr="0043067A"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43067A" w:rsidRPr="0043067A">
        <w:rPr>
          <w:rFonts w:eastAsia="Times New Roman" w:cs="Arial"/>
          <w:b/>
          <w:bCs/>
          <w:sz w:val="24"/>
          <w:szCs w:val="24"/>
          <w:lang w:eastAsia="en-IE"/>
        </w:rPr>
        <w:t xml:space="preserve">G11669 Grade VII </w:t>
      </w:r>
      <w:r w:rsidR="0043067A" w:rsidRPr="0043067A">
        <w:rPr>
          <w:rFonts w:eastAsia="Times New Roman" w:cs="Arial"/>
          <w:b/>
          <w:bCs/>
          <w:sz w:val="24"/>
          <w:szCs w:val="24"/>
          <w:lang w:eastAsia="en-IE"/>
        </w:rPr>
        <w:t>(</w:t>
      </w:r>
      <w:proofErr w:type="spellStart"/>
      <w:r w:rsidR="0043067A" w:rsidRPr="0043067A">
        <w:rPr>
          <w:rFonts w:eastAsia="Times New Roman" w:cs="Arial"/>
          <w:b/>
          <w:bCs/>
          <w:sz w:val="24"/>
          <w:szCs w:val="24"/>
          <w:lang w:eastAsia="en-IE"/>
        </w:rPr>
        <w:t>Grád</w:t>
      </w:r>
      <w:proofErr w:type="spellEnd"/>
      <w:r w:rsidR="0043067A" w:rsidRPr="0043067A">
        <w:rPr>
          <w:rFonts w:eastAsia="Times New Roman" w:cs="Arial"/>
          <w:b/>
          <w:bCs/>
          <w:sz w:val="24"/>
          <w:szCs w:val="24"/>
          <w:lang w:eastAsia="en-IE"/>
        </w:rPr>
        <w:t xml:space="preserve"> VII) Scheduled Care Transformation Programme Manager</w:t>
      </w:r>
    </w:p>
    <w:p w14:paraId="6BB259D8" w14:textId="17636C87" w:rsidR="006F0040" w:rsidRPr="0043067A" w:rsidRDefault="0043067A"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43067A">
        <w:rPr>
          <w:rFonts w:eastAsia="Times New Roman" w:cs="Arial"/>
          <w:b/>
          <w:bCs/>
          <w:sz w:val="24"/>
          <w:szCs w:val="24"/>
          <w:lang w:eastAsia="en-IE"/>
        </w:rPr>
        <w:t>Galway University Hospitals</w:t>
      </w:r>
      <w:r w:rsidR="006F0040" w:rsidRPr="0043067A">
        <w:rPr>
          <w:rFonts w:eastAsia="Times New Roman" w:cs="Arial"/>
          <w:b/>
          <w:bCs/>
          <w:sz w:val="24"/>
          <w:szCs w:val="24"/>
          <w:lang w:eastAsia="en-IE"/>
        </w:rPr>
        <w:t xml:space="preserve"> </w:t>
      </w:r>
    </w:p>
    <w:p w14:paraId="342D91CE" w14:textId="4B06D76F" w:rsidR="006F0040" w:rsidRPr="0043067A" w:rsidRDefault="006F0040" w:rsidP="006F0040">
      <w:pPr>
        <w:spacing w:before="240" w:after="120" w:line="240" w:lineRule="auto"/>
        <w:rPr>
          <w:rFonts w:eastAsia="Times New Roman" w:cs="Arial"/>
          <w:iCs/>
          <w:szCs w:val="20"/>
          <w:lang w:eastAsia="en-IE"/>
        </w:rPr>
      </w:pPr>
      <w:r w:rsidRPr="0043067A">
        <w:rPr>
          <w:rFonts w:eastAsia="Times New Roman" w:cs="Arial"/>
          <w:szCs w:val="20"/>
          <w:lang w:eastAsia="en-IE"/>
        </w:rPr>
        <w:t>Thank you for your interest in this role.</w:t>
      </w:r>
      <w:r w:rsidRPr="0043067A">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545F209"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43067A">
        <w:rPr>
          <w:rFonts w:ascii="Arial" w:eastAsia="Times New Roman" w:hAnsi="Arial" w:cs="Arial"/>
          <w:sz w:val="20"/>
          <w:szCs w:val="20"/>
        </w:rPr>
        <w:t xml:space="preserve">Recruitment Team GUH, </w:t>
      </w:r>
      <w:hyperlink r:id="rId10" w:history="1">
        <w:r w:rsidR="0043067A"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1896D6E" w14:textId="2939F9E2" w:rsidR="006F0040" w:rsidRPr="00745CEC" w:rsidRDefault="006F0040" w:rsidP="006F0040">
      <w:pPr>
        <w:pStyle w:val="ListParagraph"/>
        <w:spacing w:before="240" w:after="120" w:line="240" w:lineRule="auto"/>
        <w:ind w:left="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06E871D2" w14:textId="7E00F0F5" w:rsidR="00BA3AB7"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6255574" w:history="1">
            <w:r w:rsidR="00BA3AB7" w:rsidRPr="00622549">
              <w:rPr>
                <w:rStyle w:val="Hyperlink"/>
                <w:rFonts w:eastAsia="Times New Roman" w:cs="Arial"/>
                <w:noProof/>
                <w:lang w:val="en-US"/>
              </w:rPr>
              <w:t>Who should apply?</w:t>
            </w:r>
            <w:r w:rsidR="00BA3AB7">
              <w:rPr>
                <w:noProof/>
                <w:webHidden/>
              </w:rPr>
              <w:tab/>
            </w:r>
            <w:r w:rsidR="00BA3AB7">
              <w:rPr>
                <w:noProof/>
                <w:webHidden/>
              </w:rPr>
              <w:fldChar w:fldCharType="begin"/>
            </w:r>
            <w:r w:rsidR="00BA3AB7">
              <w:rPr>
                <w:noProof/>
                <w:webHidden/>
              </w:rPr>
              <w:instrText xml:space="preserve"> PAGEREF _Toc216255574 \h </w:instrText>
            </w:r>
            <w:r w:rsidR="00BA3AB7">
              <w:rPr>
                <w:noProof/>
                <w:webHidden/>
              </w:rPr>
            </w:r>
            <w:r w:rsidR="00BA3AB7">
              <w:rPr>
                <w:noProof/>
                <w:webHidden/>
              </w:rPr>
              <w:fldChar w:fldCharType="separate"/>
            </w:r>
            <w:r w:rsidR="00BA3AB7">
              <w:rPr>
                <w:noProof/>
                <w:webHidden/>
              </w:rPr>
              <w:t>2</w:t>
            </w:r>
            <w:r w:rsidR="00BA3AB7">
              <w:rPr>
                <w:noProof/>
                <w:webHidden/>
              </w:rPr>
              <w:fldChar w:fldCharType="end"/>
            </w:r>
          </w:hyperlink>
        </w:p>
        <w:p w14:paraId="1E633086" w14:textId="70618BC9" w:rsidR="00BA3AB7" w:rsidRDefault="00BA3AB7">
          <w:pPr>
            <w:pStyle w:val="TOC1"/>
            <w:rPr>
              <w:rFonts w:asciiTheme="minorHAnsi" w:eastAsiaTheme="minorEastAsia" w:hAnsiTheme="minorHAnsi"/>
              <w:noProof/>
              <w:sz w:val="22"/>
              <w:lang w:eastAsia="en-IE"/>
            </w:rPr>
          </w:pPr>
          <w:hyperlink w:anchor="_Toc216255575" w:history="1">
            <w:r w:rsidRPr="00622549">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_Toc216255575 \h </w:instrText>
            </w:r>
            <w:r>
              <w:rPr>
                <w:noProof/>
                <w:webHidden/>
              </w:rPr>
            </w:r>
            <w:r>
              <w:rPr>
                <w:noProof/>
                <w:webHidden/>
              </w:rPr>
              <w:fldChar w:fldCharType="separate"/>
            </w:r>
            <w:r>
              <w:rPr>
                <w:noProof/>
                <w:webHidden/>
              </w:rPr>
              <w:t>2</w:t>
            </w:r>
            <w:r>
              <w:rPr>
                <w:noProof/>
                <w:webHidden/>
              </w:rPr>
              <w:fldChar w:fldCharType="end"/>
            </w:r>
          </w:hyperlink>
        </w:p>
        <w:p w14:paraId="5E495719" w14:textId="330205FC" w:rsidR="00BA3AB7" w:rsidRDefault="00BA3AB7">
          <w:pPr>
            <w:pStyle w:val="TOC1"/>
            <w:rPr>
              <w:rFonts w:asciiTheme="minorHAnsi" w:eastAsiaTheme="minorEastAsia" w:hAnsiTheme="minorHAnsi"/>
              <w:noProof/>
              <w:sz w:val="22"/>
              <w:lang w:eastAsia="en-IE"/>
            </w:rPr>
          </w:pPr>
          <w:hyperlink w:anchor="_Toc216255576" w:history="1">
            <w:r w:rsidRPr="00622549">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_Toc216255576 \h </w:instrText>
            </w:r>
            <w:r>
              <w:rPr>
                <w:noProof/>
                <w:webHidden/>
              </w:rPr>
            </w:r>
            <w:r>
              <w:rPr>
                <w:noProof/>
                <w:webHidden/>
              </w:rPr>
              <w:fldChar w:fldCharType="separate"/>
            </w:r>
            <w:r>
              <w:rPr>
                <w:noProof/>
                <w:webHidden/>
              </w:rPr>
              <w:t>3</w:t>
            </w:r>
            <w:r>
              <w:rPr>
                <w:noProof/>
                <w:webHidden/>
              </w:rPr>
              <w:fldChar w:fldCharType="end"/>
            </w:r>
          </w:hyperlink>
        </w:p>
        <w:p w14:paraId="3E9F52CB" w14:textId="47BB7E83" w:rsidR="00BA3AB7" w:rsidRDefault="00BA3AB7">
          <w:pPr>
            <w:pStyle w:val="TOC1"/>
            <w:rPr>
              <w:rFonts w:asciiTheme="minorHAnsi" w:eastAsiaTheme="minorEastAsia" w:hAnsiTheme="minorHAnsi"/>
              <w:noProof/>
              <w:sz w:val="22"/>
              <w:lang w:eastAsia="en-IE"/>
            </w:rPr>
          </w:pPr>
          <w:hyperlink w:anchor="_Toc216255577" w:history="1">
            <w:r w:rsidRPr="00622549">
              <w:rPr>
                <w:rStyle w:val="Hyperlink"/>
                <w:rFonts w:cs="Arial"/>
                <w:noProof/>
              </w:rPr>
              <w:t>Candidate Supports</w:t>
            </w:r>
            <w:r>
              <w:rPr>
                <w:noProof/>
                <w:webHidden/>
              </w:rPr>
              <w:tab/>
            </w:r>
            <w:r>
              <w:rPr>
                <w:noProof/>
                <w:webHidden/>
              </w:rPr>
              <w:fldChar w:fldCharType="begin"/>
            </w:r>
            <w:r>
              <w:rPr>
                <w:noProof/>
                <w:webHidden/>
              </w:rPr>
              <w:instrText xml:space="preserve"> PAGEREF _Toc216255577 \h </w:instrText>
            </w:r>
            <w:r>
              <w:rPr>
                <w:noProof/>
                <w:webHidden/>
              </w:rPr>
            </w:r>
            <w:r>
              <w:rPr>
                <w:noProof/>
                <w:webHidden/>
              </w:rPr>
              <w:fldChar w:fldCharType="separate"/>
            </w:r>
            <w:r>
              <w:rPr>
                <w:noProof/>
                <w:webHidden/>
              </w:rPr>
              <w:t>3</w:t>
            </w:r>
            <w:r>
              <w:rPr>
                <w:noProof/>
                <w:webHidden/>
              </w:rPr>
              <w:fldChar w:fldCharType="end"/>
            </w:r>
          </w:hyperlink>
        </w:p>
        <w:p w14:paraId="01380121" w14:textId="22CBD7F4" w:rsidR="00BA3AB7" w:rsidRDefault="00BA3AB7">
          <w:pPr>
            <w:pStyle w:val="TOC1"/>
            <w:rPr>
              <w:rFonts w:asciiTheme="minorHAnsi" w:eastAsiaTheme="minorEastAsia" w:hAnsiTheme="minorHAnsi"/>
              <w:noProof/>
              <w:sz w:val="22"/>
              <w:lang w:eastAsia="en-IE"/>
            </w:rPr>
          </w:pPr>
          <w:hyperlink w:anchor="_Toc216255578" w:history="1">
            <w:r w:rsidRPr="00622549">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_Toc216255578 \h </w:instrText>
            </w:r>
            <w:r>
              <w:rPr>
                <w:noProof/>
                <w:webHidden/>
              </w:rPr>
            </w:r>
            <w:r>
              <w:rPr>
                <w:noProof/>
                <w:webHidden/>
              </w:rPr>
              <w:fldChar w:fldCharType="separate"/>
            </w:r>
            <w:r>
              <w:rPr>
                <w:noProof/>
                <w:webHidden/>
              </w:rPr>
              <w:t>4</w:t>
            </w:r>
            <w:r>
              <w:rPr>
                <w:noProof/>
                <w:webHidden/>
              </w:rPr>
              <w:fldChar w:fldCharType="end"/>
            </w:r>
          </w:hyperlink>
        </w:p>
        <w:p w14:paraId="5C8FF81F" w14:textId="3A707638" w:rsidR="00BA3AB7" w:rsidRDefault="00BA3AB7">
          <w:pPr>
            <w:pStyle w:val="TOC1"/>
            <w:rPr>
              <w:rFonts w:asciiTheme="minorHAnsi" w:eastAsiaTheme="minorEastAsia" w:hAnsiTheme="minorHAnsi"/>
              <w:noProof/>
              <w:sz w:val="22"/>
              <w:lang w:eastAsia="en-IE"/>
            </w:rPr>
          </w:pPr>
          <w:hyperlink w:anchor="_Toc216255579" w:history="1">
            <w:r w:rsidRPr="00622549">
              <w:rPr>
                <w:rStyle w:val="Hyperlink"/>
                <w:rFonts w:cs="Arial"/>
                <w:noProof/>
              </w:rPr>
              <w:t>Interview Notes</w:t>
            </w:r>
            <w:r>
              <w:rPr>
                <w:noProof/>
                <w:webHidden/>
              </w:rPr>
              <w:tab/>
            </w:r>
            <w:r>
              <w:rPr>
                <w:noProof/>
                <w:webHidden/>
              </w:rPr>
              <w:fldChar w:fldCharType="begin"/>
            </w:r>
            <w:r>
              <w:rPr>
                <w:noProof/>
                <w:webHidden/>
              </w:rPr>
              <w:instrText xml:space="preserve"> PAGEREF _Toc216255579 \h </w:instrText>
            </w:r>
            <w:r>
              <w:rPr>
                <w:noProof/>
                <w:webHidden/>
              </w:rPr>
            </w:r>
            <w:r>
              <w:rPr>
                <w:noProof/>
                <w:webHidden/>
              </w:rPr>
              <w:fldChar w:fldCharType="separate"/>
            </w:r>
            <w:r>
              <w:rPr>
                <w:noProof/>
                <w:webHidden/>
              </w:rPr>
              <w:t>4</w:t>
            </w:r>
            <w:r>
              <w:rPr>
                <w:noProof/>
                <w:webHidden/>
              </w:rPr>
              <w:fldChar w:fldCharType="end"/>
            </w:r>
          </w:hyperlink>
        </w:p>
        <w:p w14:paraId="1A2EB2C1" w14:textId="6C3562C6" w:rsidR="00BA3AB7" w:rsidRDefault="00BA3AB7">
          <w:pPr>
            <w:pStyle w:val="TOC1"/>
            <w:rPr>
              <w:rFonts w:asciiTheme="minorHAnsi" w:eastAsiaTheme="minorEastAsia" w:hAnsiTheme="minorHAnsi"/>
              <w:noProof/>
              <w:sz w:val="22"/>
              <w:lang w:eastAsia="en-IE"/>
            </w:rPr>
          </w:pPr>
          <w:hyperlink w:anchor="_Toc216255580" w:history="1">
            <w:r w:rsidRPr="00622549">
              <w:rPr>
                <w:rStyle w:val="Hyperlink"/>
                <w:rFonts w:cs="Arial"/>
                <w:noProof/>
              </w:rPr>
              <w:t>Formation of Panels</w:t>
            </w:r>
            <w:r>
              <w:rPr>
                <w:noProof/>
                <w:webHidden/>
              </w:rPr>
              <w:tab/>
            </w:r>
            <w:r>
              <w:rPr>
                <w:noProof/>
                <w:webHidden/>
              </w:rPr>
              <w:fldChar w:fldCharType="begin"/>
            </w:r>
            <w:r>
              <w:rPr>
                <w:noProof/>
                <w:webHidden/>
              </w:rPr>
              <w:instrText xml:space="preserve"> PAGEREF _Toc216255580 \h </w:instrText>
            </w:r>
            <w:r>
              <w:rPr>
                <w:noProof/>
                <w:webHidden/>
              </w:rPr>
            </w:r>
            <w:r>
              <w:rPr>
                <w:noProof/>
                <w:webHidden/>
              </w:rPr>
              <w:fldChar w:fldCharType="separate"/>
            </w:r>
            <w:r>
              <w:rPr>
                <w:noProof/>
                <w:webHidden/>
              </w:rPr>
              <w:t>4</w:t>
            </w:r>
            <w:r>
              <w:rPr>
                <w:noProof/>
                <w:webHidden/>
              </w:rPr>
              <w:fldChar w:fldCharType="end"/>
            </w:r>
          </w:hyperlink>
        </w:p>
        <w:p w14:paraId="0C8C4DDD" w14:textId="3DF41676" w:rsidR="00BA3AB7" w:rsidRDefault="00BA3AB7">
          <w:pPr>
            <w:pStyle w:val="TOC1"/>
            <w:rPr>
              <w:rFonts w:asciiTheme="minorHAnsi" w:eastAsiaTheme="minorEastAsia" w:hAnsiTheme="minorHAnsi"/>
              <w:noProof/>
              <w:sz w:val="22"/>
              <w:lang w:eastAsia="en-IE"/>
            </w:rPr>
          </w:pPr>
          <w:hyperlink w:anchor="_Toc216255581" w:history="1">
            <w:r w:rsidRPr="00622549">
              <w:rPr>
                <w:rStyle w:val="Hyperlink"/>
                <w:noProof/>
              </w:rPr>
              <w:t>Marking System</w:t>
            </w:r>
            <w:r>
              <w:rPr>
                <w:noProof/>
                <w:webHidden/>
              </w:rPr>
              <w:tab/>
            </w:r>
            <w:r>
              <w:rPr>
                <w:noProof/>
                <w:webHidden/>
              </w:rPr>
              <w:fldChar w:fldCharType="begin"/>
            </w:r>
            <w:r>
              <w:rPr>
                <w:noProof/>
                <w:webHidden/>
              </w:rPr>
              <w:instrText xml:space="preserve"> PAGEREF _Toc216255581 \h </w:instrText>
            </w:r>
            <w:r>
              <w:rPr>
                <w:noProof/>
                <w:webHidden/>
              </w:rPr>
            </w:r>
            <w:r>
              <w:rPr>
                <w:noProof/>
                <w:webHidden/>
              </w:rPr>
              <w:fldChar w:fldCharType="separate"/>
            </w:r>
            <w:r>
              <w:rPr>
                <w:noProof/>
                <w:webHidden/>
              </w:rPr>
              <w:t>4</w:t>
            </w:r>
            <w:r>
              <w:rPr>
                <w:noProof/>
                <w:webHidden/>
              </w:rPr>
              <w:fldChar w:fldCharType="end"/>
            </w:r>
          </w:hyperlink>
        </w:p>
        <w:p w14:paraId="7D93D027" w14:textId="3249C677" w:rsidR="00BA3AB7" w:rsidRDefault="00BA3AB7">
          <w:pPr>
            <w:pStyle w:val="TOC1"/>
            <w:rPr>
              <w:rFonts w:asciiTheme="minorHAnsi" w:eastAsiaTheme="minorEastAsia" w:hAnsiTheme="minorHAnsi"/>
              <w:noProof/>
              <w:sz w:val="22"/>
              <w:lang w:eastAsia="en-IE"/>
            </w:rPr>
          </w:pPr>
          <w:hyperlink w:anchor="_Toc216255582" w:history="1">
            <w:r w:rsidRPr="00622549">
              <w:rPr>
                <w:rStyle w:val="Hyperlink"/>
                <w:noProof/>
              </w:rPr>
              <w:t>Future panels</w:t>
            </w:r>
            <w:r>
              <w:rPr>
                <w:noProof/>
                <w:webHidden/>
              </w:rPr>
              <w:tab/>
            </w:r>
            <w:r>
              <w:rPr>
                <w:noProof/>
                <w:webHidden/>
              </w:rPr>
              <w:fldChar w:fldCharType="begin"/>
            </w:r>
            <w:r>
              <w:rPr>
                <w:noProof/>
                <w:webHidden/>
              </w:rPr>
              <w:instrText xml:space="preserve"> PAGEREF _Toc216255582 \h </w:instrText>
            </w:r>
            <w:r>
              <w:rPr>
                <w:noProof/>
                <w:webHidden/>
              </w:rPr>
            </w:r>
            <w:r>
              <w:rPr>
                <w:noProof/>
                <w:webHidden/>
              </w:rPr>
              <w:fldChar w:fldCharType="separate"/>
            </w:r>
            <w:r>
              <w:rPr>
                <w:noProof/>
                <w:webHidden/>
              </w:rPr>
              <w:t>5</w:t>
            </w:r>
            <w:r>
              <w:rPr>
                <w:noProof/>
                <w:webHidden/>
              </w:rPr>
              <w:fldChar w:fldCharType="end"/>
            </w:r>
          </w:hyperlink>
        </w:p>
        <w:p w14:paraId="2AA56334" w14:textId="3678825C" w:rsidR="00BA3AB7" w:rsidRDefault="00BA3AB7">
          <w:pPr>
            <w:pStyle w:val="TOC1"/>
            <w:rPr>
              <w:rFonts w:asciiTheme="minorHAnsi" w:eastAsiaTheme="minorEastAsia" w:hAnsiTheme="minorHAnsi"/>
              <w:noProof/>
              <w:sz w:val="22"/>
              <w:lang w:eastAsia="en-IE"/>
            </w:rPr>
          </w:pPr>
          <w:hyperlink w:anchor="_Toc216255583" w:history="1">
            <w:r w:rsidRPr="00622549">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_Toc216255583 \h </w:instrText>
            </w:r>
            <w:r>
              <w:rPr>
                <w:noProof/>
                <w:webHidden/>
              </w:rPr>
            </w:r>
            <w:r>
              <w:rPr>
                <w:noProof/>
                <w:webHidden/>
              </w:rPr>
              <w:fldChar w:fldCharType="separate"/>
            </w:r>
            <w:r>
              <w:rPr>
                <w:noProof/>
                <w:webHidden/>
              </w:rPr>
              <w:t>5</w:t>
            </w:r>
            <w:r>
              <w:rPr>
                <w:noProof/>
                <w:webHidden/>
              </w:rPr>
              <w:fldChar w:fldCharType="end"/>
            </w:r>
          </w:hyperlink>
        </w:p>
        <w:p w14:paraId="25DB7F42" w14:textId="0307D278" w:rsidR="00BA3AB7" w:rsidRDefault="00BA3AB7">
          <w:pPr>
            <w:pStyle w:val="TOC1"/>
            <w:rPr>
              <w:rFonts w:asciiTheme="minorHAnsi" w:eastAsiaTheme="minorEastAsia" w:hAnsiTheme="minorHAnsi"/>
              <w:noProof/>
              <w:sz w:val="22"/>
              <w:lang w:eastAsia="en-IE"/>
            </w:rPr>
          </w:pPr>
          <w:hyperlink w:anchor="_Toc216255584" w:history="1">
            <w:r w:rsidRPr="00622549">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_Toc216255584 \h </w:instrText>
            </w:r>
            <w:r>
              <w:rPr>
                <w:noProof/>
                <w:webHidden/>
              </w:rPr>
            </w:r>
            <w:r>
              <w:rPr>
                <w:noProof/>
                <w:webHidden/>
              </w:rPr>
              <w:fldChar w:fldCharType="separate"/>
            </w:r>
            <w:r>
              <w:rPr>
                <w:noProof/>
                <w:webHidden/>
              </w:rPr>
              <w:t>5</w:t>
            </w:r>
            <w:r>
              <w:rPr>
                <w:noProof/>
                <w:webHidden/>
              </w:rPr>
              <w:fldChar w:fldCharType="end"/>
            </w:r>
          </w:hyperlink>
        </w:p>
        <w:p w14:paraId="70ADD7BF" w14:textId="47A8BC2F" w:rsidR="00BA3AB7" w:rsidRDefault="00BA3AB7">
          <w:pPr>
            <w:pStyle w:val="TOC1"/>
            <w:rPr>
              <w:rFonts w:asciiTheme="minorHAnsi" w:eastAsiaTheme="minorEastAsia" w:hAnsiTheme="minorHAnsi"/>
              <w:noProof/>
              <w:sz w:val="22"/>
              <w:lang w:eastAsia="en-IE"/>
            </w:rPr>
          </w:pPr>
          <w:hyperlink w:anchor="_Toc216255585" w:history="1">
            <w:r w:rsidRPr="00622549">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_Toc216255585 \h </w:instrText>
            </w:r>
            <w:r>
              <w:rPr>
                <w:noProof/>
                <w:webHidden/>
              </w:rPr>
            </w:r>
            <w:r>
              <w:rPr>
                <w:noProof/>
                <w:webHidden/>
              </w:rPr>
              <w:fldChar w:fldCharType="separate"/>
            </w:r>
            <w:r>
              <w:rPr>
                <w:noProof/>
                <w:webHidden/>
              </w:rPr>
              <w:t>5</w:t>
            </w:r>
            <w:r>
              <w:rPr>
                <w:noProof/>
                <w:webHidden/>
              </w:rPr>
              <w:fldChar w:fldCharType="end"/>
            </w:r>
          </w:hyperlink>
        </w:p>
        <w:p w14:paraId="583AB33F" w14:textId="5235ACCC" w:rsidR="00BA3AB7" w:rsidRDefault="00BA3AB7">
          <w:pPr>
            <w:pStyle w:val="TOC1"/>
            <w:rPr>
              <w:rFonts w:asciiTheme="minorHAnsi" w:eastAsiaTheme="minorEastAsia" w:hAnsiTheme="minorHAnsi"/>
              <w:noProof/>
              <w:sz w:val="22"/>
              <w:lang w:eastAsia="en-IE"/>
            </w:rPr>
          </w:pPr>
          <w:hyperlink w:anchor="_Toc216255586" w:history="1">
            <w:r w:rsidRPr="00622549">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_Toc216255586 \h </w:instrText>
            </w:r>
            <w:r>
              <w:rPr>
                <w:noProof/>
                <w:webHidden/>
              </w:rPr>
            </w:r>
            <w:r>
              <w:rPr>
                <w:noProof/>
                <w:webHidden/>
              </w:rPr>
              <w:fldChar w:fldCharType="separate"/>
            </w:r>
            <w:r>
              <w:rPr>
                <w:noProof/>
                <w:webHidden/>
              </w:rPr>
              <w:t>6</w:t>
            </w:r>
            <w:r>
              <w:rPr>
                <w:noProof/>
                <w:webHidden/>
              </w:rPr>
              <w:fldChar w:fldCharType="end"/>
            </w:r>
          </w:hyperlink>
        </w:p>
        <w:p w14:paraId="5EFB5146" w14:textId="6C687598" w:rsidR="00BA3AB7" w:rsidRDefault="00BA3AB7">
          <w:pPr>
            <w:pStyle w:val="TOC1"/>
            <w:rPr>
              <w:rFonts w:asciiTheme="minorHAnsi" w:eastAsiaTheme="minorEastAsia" w:hAnsiTheme="minorHAnsi"/>
              <w:noProof/>
              <w:sz w:val="22"/>
              <w:lang w:eastAsia="en-IE"/>
            </w:rPr>
          </w:pPr>
          <w:hyperlink w:anchor="_Toc216255587" w:history="1">
            <w:r w:rsidRPr="00622549">
              <w:rPr>
                <w:rStyle w:val="Hyperlink"/>
                <w:rFonts w:cs="Arial"/>
                <w:noProof/>
              </w:rPr>
              <w:t>HSE Privacy Policy</w:t>
            </w:r>
            <w:r>
              <w:rPr>
                <w:noProof/>
                <w:webHidden/>
              </w:rPr>
              <w:tab/>
            </w:r>
            <w:r>
              <w:rPr>
                <w:noProof/>
                <w:webHidden/>
              </w:rPr>
              <w:fldChar w:fldCharType="begin"/>
            </w:r>
            <w:r>
              <w:rPr>
                <w:noProof/>
                <w:webHidden/>
              </w:rPr>
              <w:instrText xml:space="preserve"> PAGEREF _Toc216255587 \h </w:instrText>
            </w:r>
            <w:r>
              <w:rPr>
                <w:noProof/>
                <w:webHidden/>
              </w:rPr>
            </w:r>
            <w:r>
              <w:rPr>
                <w:noProof/>
                <w:webHidden/>
              </w:rPr>
              <w:fldChar w:fldCharType="separate"/>
            </w:r>
            <w:r>
              <w:rPr>
                <w:noProof/>
                <w:webHidden/>
              </w:rPr>
              <w:t>6</w:t>
            </w:r>
            <w:r>
              <w:rPr>
                <w:noProof/>
                <w:webHidden/>
              </w:rPr>
              <w:fldChar w:fldCharType="end"/>
            </w:r>
          </w:hyperlink>
        </w:p>
        <w:p w14:paraId="6A69DF04" w14:textId="2B7EB923" w:rsidR="00BA3AB7" w:rsidRDefault="00BA3AB7">
          <w:pPr>
            <w:pStyle w:val="TOC1"/>
            <w:rPr>
              <w:rFonts w:asciiTheme="minorHAnsi" w:eastAsiaTheme="minorEastAsia" w:hAnsiTheme="minorHAnsi"/>
              <w:noProof/>
              <w:sz w:val="22"/>
              <w:lang w:eastAsia="en-IE"/>
            </w:rPr>
          </w:pPr>
          <w:hyperlink w:anchor="_Toc216255588" w:history="1">
            <w:r w:rsidRPr="00622549">
              <w:rPr>
                <w:rStyle w:val="Hyperlink"/>
                <w:noProof/>
              </w:rPr>
              <w:t>Superannuation / Pension Information</w:t>
            </w:r>
            <w:r>
              <w:rPr>
                <w:noProof/>
                <w:webHidden/>
              </w:rPr>
              <w:tab/>
            </w:r>
            <w:r>
              <w:rPr>
                <w:noProof/>
                <w:webHidden/>
              </w:rPr>
              <w:fldChar w:fldCharType="begin"/>
            </w:r>
            <w:r>
              <w:rPr>
                <w:noProof/>
                <w:webHidden/>
              </w:rPr>
              <w:instrText xml:space="preserve"> PAGEREF _Toc216255588 \h </w:instrText>
            </w:r>
            <w:r>
              <w:rPr>
                <w:noProof/>
                <w:webHidden/>
              </w:rPr>
            </w:r>
            <w:r>
              <w:rPr>
                <w:noProof/>
                <w:webHidden/>
              </w:rPr>
              <w:fldChar w:fldCharType="separate"/>
            </w:r>
            <w:r>
              <w:rPr>
                <w:noProof/>
                <w:webHidden/>
              </w:rPr>
              <w:t>6</w:t>
            </w:r>
            <w:r>
              <w:rPr>
                <w:noProof/>
                <w:webHidden/>
              </w:rPr>
              <w:fldChar w:fldCharType="end"/>
            </w:r>
          </w:hyperlink>
        </w:p>
        <w:p w14:paraId="7A9D8E91" w14:textId="0D7D523A" w:rsidR="00BA3AB7" w:rsidRDefault="00BA3AB7">
          <w:pPr>
            <w:pStyle w:val="TOC1"/>
            <w:rPr>
              <w:rFonts w:asciiTheme="minorHAnsi" w:eastAsiaTheme="minorEastAsia" w:hAnsiTheme="minorHAnsi"/>
              <w:noProof/>
              <w:sz w:val="22"/>
              <w:lang w:eastAsia="en-IE"/>
            </w:rPr>
          </w:pPr>
          <w:hyperlink w:anchor="_Toc216255589" w:history="1">
            <w:r w:rsidRPr="00622549">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_Toc216255589 \h </w:instrText>
            </w:r>
            <w:r>
              <w:rPr>
                <w:noProof/>
                <w:webHidden/>
              </w:rPr>
            </w:r>
            <w:r>
              <w:rPr>
                <w:noProof/>
                <w:webHidden/>
              </w:rPr>
              <w:fldChar w:fldCharType="separate"/>
            </w:r>
            <w:r>
              <w:rPr>
                <w:noProof/>
                <w:webHidden/>
              </w:rPr>
              <w:t>8</w:t>
            </w:r>
            <w:r>
              <w:rPr>
                <w:noProof/>
                <w:webHidden/>
              </w:rPr>
              <w:fldChar w:fldCharType="end"/>
            </w:r>
          </w:hyperlink>
        </w:p>
        <w:p w14:paraId="09734305" w14:textId="376F4D01" w:rsidR="00BA3AB7" w:rsidRDefault="00BA3AB7">
          <w:pPr>
            <w:pStyle w:val="TOC2"/>
            <w:tabs>
              <w:tab w:val="right" w:leader="dot" w:pos="9288"/>
            </w:tabs>
            <w:rPr>
              <w:rFonts w:asciiTheme="minorHAnsi" w:eastAsiaTheme="minorEastAsia" w:hAnsiTheme="minorHAnsi"/>
              <w:noProof/>
              <w:sz w:val="22"/>
              <w:lang w:eastAsia="en-IE"/>
            </w:rPr>
          </w:pPr>
          <w:hyperlink w:anchor="_Toc216255590" w:history="1">
            <w:r w:rsidRPr="00622549">
              <w:rPr>
                <w:rStyle w:val="Hyperlink"/>
                <w:noProof/>
              </w:rPr>
              <w:t>Appendix 1: Eligibility Criteria</w:t>
            </w:r>
            <w:r>
              <w:rPr>
                <w:noProof/>
                <w:webHidden/>
              </w:rPr>
              <w:tab/>
            </w:r>
            <w:r>
              <w:rPr>
                <w:noProof/>
                <w:webHidden/>
              </w:rPr>
              <w:fldChar w:fldCharType="begin"/>
            </w:r>
            <w:r>
              <w:rPr>
                <w:noProof/>
                <w:webHidden/>
              </w:rPr>
              <w:instrText xml:space="preserve"> PAGEREF _Toc216255590 \h </w:instrText>
            </w:r>
            <w:r>
              <w:rPr>
                <w:noProof/>
                <w:webHidden/>
              </w:rPr>
            </w:r>
            <w:r>
              <w:rPr>
                <w:noProof/>
                <w:webHidden/>
              </w:rPr>
              <w:fldChar w:fldCharType="separate"/>
            </w:r>
            <w:r>
              <w:rPr>
                <w:noProof/>
                <w:webHidden/>
              </w:rPr>
              <w:t>8</w:t>
            </w:r>
            <w:r>
              <w:rPr>
                <w:noProof/>
                <w:webHidden/>
              </w:rPr>
              <w:fldChar w:fldCharType="end"/>
            </w:r>
          </w:hyperlink>
        </w:p>
        <w:p w14:paraId="25DED17D" w14:textId="27460AA2" w:rsidR="00BA3AB7" w:rsidRDefault="00BA3AB7">
          <w:pPr>
            <w:pStyle w:val="TOC2"/>
            <w:tabs>
              <w:tab w:val="right" w:leader="dot" w:pos="9288"/>
            </w:tabs>
            <w:rPr>
              <w:rFonts w:asciiTheme="minorHAnsi" w:eastAsiaTheme="minorEastAsia" w:hAnsiTheme="minorHAnsi"/>
              <w:noProof/>
              <w:sz w:val="22"/>
              <w:lang w:eastAsia="en-IE"/>
            </w:rPr>
          </w:pPr>
          <w:hyperlink w:anchor="_Toc216255591" w:history="1">
            <w:r w:rsidRPr="00622549">
              <w:rPr>
                <w:rStyle w:val="Hyperlink"/>
                <w:noProof/>
              </w:rPr>
              <w:t>Appendix 2: EEA, Swiss, British and Non-EEA Applicants</w:t>
            </w:r>
            <w:r>
              <w:rPr>
                <w:noProof/>
                <w:webHidden/>
              </w:rPr>
              <w:tab/>
            </w:r>
            <w:r>
              <w:rPr>
                <w:noProof/>
                <w:webHidden/>
              </w:rPr>
              <w:fldChar w:fldCharType="begin"/>
            </w:r>
            <w:r>
              <w:rPr>
                <w:noProof/>
                <w:webHidden/>
              </w:rPr>
              <w:instrText xml:space="preserve"> PAGEREF _Toc216255591 \h </w:instrText>
            </w:r>
            <w:r>
              <w:rPr>
                <w:noProof/>
                <w:webHidden/>
              </w:rPr>
            </w:r>
            <w:r>
              <w:rPr>
                <w:noProof/>
                <w:webHidden/>
              </w:rPr>
              <w:fldChar w:fldCharType="separate"/>
            </w:r>
            <w:r>
              <w:rPr>
                <w:noProof/>
                <w:webHidden/>
              </w:rPr>
              <w:t>9</w:t>
            </w:r>
            <w:r>
              <w:rPr>
                <w:noProof/>
                <w:webHidden/>
              </w:rPr>
              <w:fldChar w:fldCharType="end"/>
            </w:r>
          </w:hyperlink>
        </w:p>
        <w:p w14:paraId="70176480" w14:textId="2482AC18" w:rsidR="00BA3AB7" w:rsidRDefault="00BA3AB7">
          <w:pPr>
            <w:pStyle w:val="TOC2"/>
            <w:tabs>
              <w:tab w:val="right" w:leader="dot" w:pos="9288"/>
            </w:tabs>
            <w:rPr>
              <w:rFonts w:asciiTheme="minorHAnsi" w:eastAsiaTheme="minorEastAsia" w:hAnsiTheme="minorHAnsi"/>
              <w:noProof/>
              <w:sz w:val="22"/>
              <w:lang w:eastAsia="en-IE"/>
            </w:rPr>
          </w:pPr>
          <w:hyperlink w:anchor="_Toc216255592" w:history="1">
            <w:r w:rsidRPr="00622549">
              <w:rPr>
                <w:rStyle w:val="Hyperlink"/>
                <w:noProof/>
              </w:rPr>
              <w:t>Appendix 3: Clearances</w:t>
            </w:r>
            <w:r>
              <w:rPr>
                <w:noProof/>
                <w:webHidden/>
              </w:rPr>
              <w:tab/>
            </w:r>
            <w:r>
              <w:rPr>
                <w:noProof/>
                <w:webHidden/>
              </w:rPr>
              <w:fldChar w:fldCharType="begin"/>
            </w:r>
            <w:r>
              <w:rPr>
                <w:noProof/>
                <w:webHidden/>
              </w:rPr>
              <w:instrText xml:space="preserve"> PAGEREF _Toc216255592 \h </w:instrText>
            </w:r>
            <w:r>
              <w:rPr>
                <w:noProof/>
                <w:webHidden/>
              </w:rPr>
            </w:r>
            <w:r>
              <w:rPr>
                <w:noProof/>
                <w:webHidden/>
              </w:rPr>
              <w:fldChar w:fldCharType="separate"/>
            </w:r>
            <w:r>
              <w:rPr>
                <w:noProof/>
                <w:webHidden/>
              </w:rPr>
              <w:t>10</w:t>
            </w:r>
            <w:r>
              <w:rPr>
                <w:noProof/>
                <w:webHidden/>
              </w:rPr>
              <w:fldChar w:fldCharType="end"/>
            </w:r>
          </w:hyperlink>
        </w:p>
        <w:p w14:paraId="4C777644" w14:textId="41D3DD85" w:rsidR="00BA3AB7" w:rsidRDefault="00BA3AB7">
          <w:pPr>
            <w:pStyle w:val="TOC2"/>
            <w:tabs>
              <w:tab w:val="right" w:leader="dot" w:pos="9288"/>
            </w:tabs>
            <w:rPr>
              <w:rFonts w:asciiTheme="minorHAnsi" w:eastAsiaTheme="minorEastAsia" w:hAnsiTheme="minorHAnsi"/>
              <w:noProof/>
              <w:sz w:val="22"/>
              <w:lang w:eastAsia="en-IE"/>
            </w:rPr>
          </w:pPr>
          <w:hyperlink w:anchor="_Toc216255593" w:history="1">
            <w:r w:rsidRPr="00622549">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_Toc216255593 \h </w:instrText>
            </w:r>
            <w:r>
              <w:rPr>
                <w:noProof/>
                <w:webHidden/>
              </w:rPr>
            </w:r>
            <w:r>
              <w:rPr>
                <w:noProof/>
                <w:webHidden/>
              </w:rPr>
              <w:fldChar w:fldCharType="separate"/>
            </w:r>
            <w:r>
              <w:rPr>
                <w:noProof/>
                <w:webHidden/>
              </w:rPr>
              <w:t>11</w:t>
            </w:r>
            <w:r>
              <w:rPr>
                <w:noProof/>
                <w:webHidden/>
              </w:rPr>
              <w:fldChar w:fldCharType="end"/>
            </w:r>
          </w:hyperlink>
        </w:p>
        <w:p w14:paraId="1E00DA9C" w14:textId="35B60B86" w:rsidR="00BA3AB7" w:rsidRDefault="00BA3AB7">
          <w:pPr>
            <w:pStyle w:val="TOC2"/>
            <w:tabs>
              <w:tab w:val="right" w:leader="dot" w:pos="9288"/>
            </w:tabs>
            <w:rPr>
              <w:rFonts w:asciiTheme="minorHAnsi" w:eastAsiaTheme="minorEastAsia" w:hAnsiTheme="minorHAnsi"/>
              <w:noProof/>
              <w:sz w:val="22"/>
              <w:lang w:eastAsia="en-IE"/>
            </w:rPr>
          </w:pPr>
          <w:hyperlink w:anchor="_Toc216255594" w:history="1">
            <w:r w:rsidRPr="00622549">
              <w:rPr>
                <w:rStyle w:val="Hyperlink"/>
                <w:noProof/>
              </w:rPr>
              <w:t>Appendix: 5 Panel Management Rules</w:t>
            </w:r>
            <w:r>
              <w:rPr>
                <w:noProof/>
                <w:webHidden/>
              </w:rPr>
              <w:tab/>
            </w:r>
            <w:r>
              <w:rPr>
                <w:noProof/>
                <w:webHidden/>
              </w:rPr>
              <w:fldChar w:fldCharType="begin"/>
            </w:r>
            <w:r>
              <w:rPr>
                <w:noProof/>
                <w:webHidden/>
              </w:rPr>
              <w:instrText xml:space="preserve"> PAGEREF _Toc216255594 \h </w:instrText>
            </w:r>
            <w:r>
              <w:rPr>
                <w:noProof/>
                <w:webHidden/>
              </w:rPr>
            </w:r>
            <w:r>
              <w:rPr>
                <w:noProof/>
                <w:webHidden/>
              </w:rPr>
              <w:fldChar w:fldCharType="separate"/>
            </w:r>
            <w:r>
              <w:rPr>
                <w:noProof/>
                <w:webHidden/>
              </w:rPr>
              <w:t>12</w:t>
            </w:r>
            <w:r>
              <w:rPr>
                <w:noProof/>
                <w:webHidden/>
              </w:rPr>
              <w:fldChar w:fldCharType="end"/>
            </w:r>
          </w:hyperlink>
        </w:p>
        <w:p w14:paraId="15561078" w14:textId="21CF463A"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625557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62BBA7AA" w14:textId="1BAB68C7" w:rsidR="006F0040" w:rsidRPr="0043067A" w:rsidRDefault="006F0040" w:rsidP="0043067A">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43067A" w:rsidRDefault="006F0040" w:rsidP="006F0040">
      <w:pPr>
        <w:autoSpaceDE w:val="0"/>
        <w:autoSpaceDN w:val="0"/>
        <w:adjustRightInd w:val="0"/>
        <w:spacing w:before="240" w:after="120" w:line="240" w:lineRule="auto"/>
        <w:rPr>
          <w:rFonts w:eastAsia="Times New Roman" w:cs="Arial"/>
          <w:szCs w:val="20"/>
          <w:lang w:eastAsia="en-IE"/>
        </w:rPr>
      </w:pPr>
      <w:r w:rsidRPr="0043067A">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625557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3FE42FC2"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2123C3EB"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43067A">
        <w:rPr>
          <w:rFonts w:cs="Arial"/>
        </w:rPr>
        <w:t xml:space="preserve"> – 10am on 29</w:t>
      </w:r>
      <w:r w:rsidR="0043067A" w:rsidRPr="0043067A">
        <w:rPr>
          <w:rFonts w:cs="Arial"/>
          <w:vertAlign w:val="superscript"/>
        </w:rPr>
        <w:t>th</w:t>
      </w:r>
      <w:r w:rsidR="0043067A">
        <w:rPr>
          <w:rFonts w:cs="Arial"/>
        </w:rPr>
        <w:t xml:space="preserve"> December 2025 via </w:t>
      </w:r>
      <w:proofErr w:type="spellStart"/>
      <w:r w:rsidR="0043067A">
        <w:rPr>
          <w:rFonts w:cs="Arial"/>
        </w:rPr>
        <w:t>Rezoomo</w:t>
      </w:r>
      <w:proofErr w:type="spellEnd"/>
      <w:r w:rsidR="0043067A">
        <w:rPr>
          <w:rFonts w:cs="Arial"/>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6255576"/>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67F93E97"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7C430E">
        <w:rPr>
          <w:rFonts w:eastAsia="Times New Roman" w:cs="Arial"/>
          <w:color w:val="000000" w:themeColor="text1"/>
          <w:lang w:eastAsia="en-IE"/>
        </w:rPr>
        <w:t>rview dates will be</w:t>
      </w:r>
      <w:r w:rsidR="73CDA80B" w:rsidRPr="007C430E">
        <w:rPr>
          <w:rFonts w:eastAsia="Times New Roman" w:cs="Arial"/>
          <w:color w:val="000000" w:themeColor="text1"/>
          <w:lang w:eastAsia="en-IE"/>
        </w:rPr>
        <w:t xml:space="preserve"> </w:t>
      </w:r>
      <w:r w:rsidRPr="007C430E">
        <w:rPr>
          <w:rFonts w:eastAsia="Times New Roman" w:cs="Arial"/>
          <w:color w:val="000000" w:themeColor="text1"/>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6255577"/>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BA3AB7"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BA3AB7"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BA3AB7"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6255578"/>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6255579"/>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6255580"/>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6255581"/>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6255582"/>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625558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6255584"/>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625558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6255586"/>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6255587"/>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6255588"/>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6255589"/>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6255590"/>
      <w:bookmarkEnd w:id="16"/>
      <w:r w:rsidRPr="00BD636C">
        <w:t>Appendix 1: Eligibility Criteria</w:t>
      </w:r>
      <w:bookmarkEnd w:id="17"/>
    </w:p>
    <w:p w14:paraId="3CDFB1D3" w14:textId="1FFAA504" w:rsidR="006F0040" w:rsidRDefault="006F0040" w:rsidP="006F0040">
      <w:pPr>
        <w:spacing w:before="240" w:after="120" w:line="240" w:lineRule="auto"/>
        <w:rPr>
          <w:rFonts w:cs="Arial"/>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6D993E60" w14:textId="77777777" w:rsidR="002B6C03" w:rsidRDefault="002B6C03" w:rsidP="006F0040">
      <w:pPr>
        <w:spacing w:before="240" w:after="120" w:line="240" w:lineRule="auto"/>
        <w:rPr>
          <w:rFonts w:cs="Arial"/>
          <w:szCs w:val="20"/>
        </w:rPr>
      </w:pPr>
    </w:p>
    <w:p w14:paraId="5DED20D9" w14:textId="77777777" w:rsidR="002C59D8" w:rsidRPr="002C59D8" w:rsidRDefault="002C59D8" w:rsidP="002C59D8">
      <w:pPr>
        <w:spacing w:after="0" w:line="240" w:lineRule="auto"/>
        <w:rPr>
          <w:rFonts w:eastAsia="Times New Roman" w:cs="Arial"/>
          <w:bCs/>
          <w:szCs w:val="20"/>
          <w:lang w:val="en-GB" w:eastAsia="en-GB"/>
        </w:rPr>
      </w:pPr>
      <w:r w:rsidRPr="002C59D8">
        <w:rPr>
          <w:rFonts w:eastAsia="Times New Roman" w:cs="Arial"/>
          <w:bCs/>
          <w:szCs w:val="20"/>
          <w:lang w:val="en-GB" w:eastAsia="en-G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D11FB72" w14:textId="77777777" w:rsidR="002C59D8" w:rsidRPr="002C59D8" w:rsidRDefault="002C59D8" w:rsidP="002C59D8">
      <w:pPr>
        <w:spacing w:after="0" w:line="240" w:lineRule="auto"/>
        <w:rPr>
          <w:rFonts w:eastAsia="Times New Roman" w:cs="Arial"/>
          <w:bCs/>
          <w:iCs/>
          <w:szCs w:val="20"/>
          <w:lang w:val="en-GB" w:eastAsia="en-GB"/>
        </w:rPr>
      </w:pPr>
    </w:p>
    <w:p w14:paraId="65E843B7" w14:textId="77777777" w:rsidR="002C59D8" w:rsidRPr="002C59D8" w:rsidRDefault="002C59D8" w:rsidP="002C59D8">
      <w:pPr>
        <w:spacing w:after="0" w:line="240" w:lineRule="auto"/>
        <w:jc w:val="both"/>
        <w:rPr>
          <w:rFonts w:eastAsia="Times New Roman" w:cs="Arial"/>
          <w:szCs w:val="20"/>
          <w:lang w:val="en-GB" w:eastAsia="en-GB"/>
        </w:rPr>
      </w:pPr>
      <w:r w:rsidRPr="002C59D8">
        <w:rPr>
          <w:rFonts w:eastAsia="Times New Roman" w:cs="Arial"/>
          <w:szCs w:val="20"/>
          <w:lang w:val="en-GB" w:eastAsia="en-GB"/>
        </w:rPr>
        <w:t>(a) Eligible applicants will be those who on the closing date for the competition:</w:t>
      </w:r>
    </w:p>
    <w:p w14:paraId="1A7AB4B3" w14:textId="77777777" w:rsidR="002C59D8" w:rsidRPr="002C59D8" w:rsidRDefault="002C59D8" w:rsidP="002C59D8">
      <w:pPr>
        <w:spacing w:after="0" w:line="240" w:lineRule="auto"/>
        <w:jc w:val="both"/>
        <w:rPr>
          <w:rFonts w:eastAsia="Times New Roman" w:cs="Arial"/>
          <w:szCs w:val="20"/>
          <w:lang w:val="en-GB" w:eastAsia="en-GB"/>
        </w:rPr>
      </w:pPr>
    </w:p>
    <w:p w14:paraId="7072FC1C" w14:textId="77777777" w:rsidR="002C59D8" w:rsidRPr="002C59D8" w:rsidRDefault="002C59D8" w:rsidP="002C59D8">
      <w:pPr>
        <w:tabs>
          <w:tab w:val="center" w:pos="4320"/>
          <w:tab w:val="right" w:pos="8640"/>
        </w:tabs>
        <w:spacing w:after="0" w:line="240" w:lineRule="auto"/>
        <w:contextualSpacing/>
        <w:jc w:val="both"/>
        <w:rPr>
          <w:rFonts w:eastAsia="Calibri" w:cs="Arial"/>
          <w:iCs/>
          <w:color w:val="000000"/>
          <w:szCs w:val="20"/>
          <w:lang w:val="en-GB"/>
        </w:rPr>
      </w:pPr>
      <w:r w:rsidRPr="002C59D8">
        <w:rPr>
          <w:rFonts w:eastAsia="Times New Roman" w:cs="Arial"/>
          <w:szCs w:val="20"/>
          <w:lang w:val="en-GB" w:eastAsia="en-GB"/>
        </w:rPr>
        <w:t xml:space="preserve">Have satisfactory experience in an office under the HSE, TUSLA, </w:t>
      </w:r>
      <w:r w:rsidRPr="002C59D8">
        <w:rPr>
          <w:rFonts w:eastAsia="Calibri" w:cs="Arial"/>
          <w:iCs/>
          <w:color w:val="000000"/>
          <w:szCs w:val="20"/>
          <w:lang w:val="en-GB"/>
        </w:rPr>
        <w:t>other statutory health agencies, or a body which provides services on behalf of the HSE under Section 38 of the Health Act 2004 at a level not lower than that of Grade IV (or equivalent)</w:t>
      </w:r>
    </w:p>
    <w:p w14:paraId="063EAA26" w14:textId="77777777" w:rsidR="002C59D8" w:rsidRPr="002C59D8" w:rsidRDefault="002C59D8" w:rsidP="002C59D8">
      <w:pPr>
        <w:tabs>
          <w:tab w:val="center" w:pos="4320"/>
          <w:tab w:val="right" w:pos="8640"/>
        </w:tabs>
        <w:spacing w:after="0" w:line="240" w:lineRule="auto"/>
        <w:contextualSpacing/>
        <w:jc w:val="both"/>
        <w:rPr>
          <w:rFonts w:eastAsia="Calibri" w:cs="Arial"/>
          <w:iCs/>
          <w:color w:val="000000"/>
          <w:szCs w:val="20"/>
          <w:lang w:val="en-GB"/>
        </w:rPr>
      </w:pPr>
    </w:p>
    <w:p w14:paraId="2D121D8B" w14:textId="77777777" w:rsidR="002C59D8" w:rsidRPr="002C59D8" w:rsidRDefault="002C59D8" w:rsidP="002C59D8">
      <w:pPr>
        <w:tabs>
          <w:tab w:val="center" w:pos="4320"/>
          <w:tab w:val="right" w:pos="8640"/>
        </w:tabs>
        <w:spacing w:after="0" w:line="240" w:lineRule="auto"/>
        <w:contextualSpacing/>
        <w:jc w:val="center"/>
        <w:rPr>
          <w:rFonts w:eastAsia="Calibri" w:cs="Arial"/>
          <w:iCs/>
          <w:color w:val="000000"/>
          <w:szCs w:val="20"/>
          <w:lang w:val="en-GB"/>
        </w:rPr>
      </w:pPr>
      <w:r w:rsidRPr="002C59D8">
        <w:rPr>
          <w:rFonts w:eastAsia="Calibri" w:cs="Arial"/>
          <w:b/>
          <w:bCs/>
          <w:iCs/>
          <w:color w:val="000000"/>
          <w:szCs w:val="20"/>
          <w:lang w:val="en-GB"/>
        </w:rPr>
        <w:t>AND</w:t>
      </w:r>
    </w:p>
    <w:p w14:paraId="2B0417A4" w14:textId="77777777" w:rsidR="002C59D8" w:rsidRPr="002C59D8" w:rsidRDefault="002C59D8" w:rsidP="002C59D8">
      <w:pPr>
        <w:tabs>
          <w:tab w:val="center" w:pos="4320"/>
          <w:tab w:val="right" w:pos="8640"/>
        </w:tabs>
        <w:spacing w:after="0" w:line="240" w:lineRule="auto"/>
        <w:contextualSpacing/>
        <w:rPr>
          <w:rFonts w:eastAsia="Calibri" w:cs="Arial"/>
          <w:iCs/>
          <w:color w:val="000000"/>
          <w:szCs w:val="20"/>
          <w:lang w:val="en-GB"/>
        </w:rPr>
      </w:pPr>
    </w:p>
    <w:p w14:paraId="570BC69E" w14:textId="77777777" w:rsidR="002C59D8" w:rsidRPr="002C59D8" w:rsidRDefault="002C59D8" w:rsidP="002C59D8">
      <w:pPr>
        <w:tabs>
          <w:tab w:val="center" w:pos="4320"/>
          <w:tab w:val="right" w:pos="8640"/>
        </w:tabs>
        <w:spacing w:after="0" w:line="240" w:lineRule="auto"/>
        <w:contextualSpacing/>
        <w:rPr>
          <w:rFonts w:eastAsia="Calibri" w:cs="Arial"/>
          <w:iCs/>
          <w:color w:val="000000"/>
          <w:szCs w:val="20"/>
          <w:lang w:val="en-GB"/>
        </w:rPr>
      </w:pPr>
      <w:r w:rsidRPr="002C59D8">
        <w:rPr>
          <w:rFonts w:eastAsia="Calibri" w:cs="Arial"/>
          <w:iCs/>
          <w:color w:val="000000"/>
          <w:szCs w:val="20"/>
          <w:lang w:val="en-GB"/>
        </w:rPr>
        <w:t xml:space="preserve">Have not </w:t>
      </w:r>
      <w:r w:rsidRPr="002C59D8">
        <w:rPr>
          <w:rFonts w:eastAsia="Times New Roman" w:cs="Arial"/>
          <w:szCs w:val="20"/>
          <w:lang w:val="en-GB" w:eastAsia="en-GB"/>
        </w:rPr>
        <w:t xml:space="preserve">less than two years satisfactory experience either in that office or in an office at a level not lower than that of Clerical Officer in the HSE, TUSLA, </w:t>
      </w:r>
      <w:r w:rsidRPr="002C59D8">
        <w:rPr>
          <w:rFonts w:eastAsia="Calibri" w:cs="Arial"/>
          <w:iCs/>
          <w:color w:val="000000"/>
          <w:szCs w:val="20"/>
          <w:lang w:val="en-GB"/>
        </w:rPr>
        <w:t>other statutory health agencies, or a body which provides services on behalf of the HSE under Section 38 of the Health Act 2004</w:t>
      </w:r>
    </w:p>
    <w:p w14:paraId="79CF85A5" w14:textId="77777777" w:rsidR="002C59D8" w:rsidRPr="002C59D8" w:rsidRDefault="002C59D8" w:rsidP="002C59D8">
      <w:pPr>
        <w:tabs>
          <w:tab w:val="left" w:pos="1680"/>
        </w:tabs>
        <w:spacing w:after="0" w:line="240" w:lineRule="auto"/>
        <w:jc w:val="both"/>
        <w:rPr>
          <w:rFonts w:eastAsia="Times New Roman" w:cs="Arial"/>
          <w:szCs w:val="20"/>
          <w:lang w:val="en-GB" w:eastAsia="en-GB"/>
        </w:rPr>
      </w:pPr>
    </w:p>
    <w:p w14:paraId="2946FA83" w14:textId="77777777" w:rsidR="002C59D8" w:rsidRPr="002C59D8" w:rsidRDefault="002C59D8" w:rsidP="002C59D8">
      <w:pPr>
        <w:tabs>
          <w:tab w:val="center" w:pos="4320"/>
          <w:tab w:val="right" w:pos="8640"/>
        </w:tabs>
        <w:spacing w:after="0" w:line="240" w:lineRule="auto"/>
        <w:contextualSpacing/>
        <w:jc w:val="center"/>
        <w:rPr>
          <w:rFonts w:eastAsia="Calibri" w:cs="Arial"/>
          <w:iCs/>
          <w:color w:val="000000"/>
          <w:szCs w:val="20"/>
          <w:lang w:val="en-GB"/>
        </w:rPr>
      </w:pPr>
      <w:r w:rsidRPr="002C59D8">
        <w:rPr>
          <w:rFonts w:eastAsia="Calibri" w:cs="Arial"/>
          <w:b/>
          <w:bCs/>
          <w:iCs/>
          <w:color w:val="000000"/>
          <w:szCs w:val="20"/>
          <w:lang w:val="en-GB"/>
        </w:rPr>
        <w:t>AND</w:t>
      </w:r>
    </w:p>
    <w:p w14:paraId="230538E7" w14:textId="77777777" w:rsidR="002C59D8" w:rsidRPr="002C59D8" w:rsidRDefault="002C59D8" w:rsidP="002C59D8">
      <w:pPr>
        <w:spacing w:after="0" w:line="240" w:lineRule="auto"/>
        <w:jc w:val="center"/>
        <w:rPr>
          <w:rFonts w:eastAsia="Times New Roman" w:cs="Arial"/>
          <w:bCs/>
          <w:szCs w:val="20"/>
          <w:lang w:val="en-GB" w:eastAsia="en-GB"/>
        </w:rPr>
      </w:pPr>
    </w:p>
    <w:p w14:paraId="1A64AA12" w14:textId="77777777" w:rsidR="002C59D8" w:rsidRPr="002C59D8" w:rsidRDefault="002C59D8" w:rsidP="002C59D8">
      <w:pPr>
        <w:spacing w:after="0" w:line="240" w:lineRule="auto"/>
        <w:jc w:val="both"/>
        <w:rPr>
          <w:rFonts w:eastAsia="Times New Roman" w:cs="Arial"/>
          <w:szCs w:val="20"/>
          <w:lang w:val="en-GB" w:eastAsia="en-GB"/>
        </w:rPr>
      </w:pPr>
      <w:r w:rsidRPr="002C59D8">
        <w:rPr>
          <w:rFonts w:eastAsia="Times New Roman" w:cs="Arial"/>
          <w:szCs w:val="20"/>
          <w:lang w:val="en-GB" w:eastAsia="en-GB"/>
        </w:rPr>
        <w:t xml:space="preserve">(b) Candidates must possess the requisite knowledge and ability, including a high standard of suitability, for the proper discharge of the office. </w:t>
      </w:r>
    </w:p>
    <w:p w14:paraId="22DD3834" w14:textId="77777777" w:rsidR="002C59D8" w:rsidRPr="002C59D8" w:rsidRDefault="002C59D8" w:rsidP="002C59D8">
      <w:pPr>
        <w:widowControl w:val="0"/>
        <w:autoSpaceDE w:val="0"/>
        <w:autoSpaceDN w:val="0"/>
        <w:adjustRightInd w:val="0"/>
        <w:spacing w:after="0" w:line="240" w:lineRule="auto"/>
        <w:rPr>
          <w:rFonts w:eastAsia="Times New Roman" w:cs="Arial"/>
          <w:bCs/>
          <w:color w:val="00009C"/>
          <w:szCs w:val="20"/>
          <w:lang w:val="en-GB" w:eastAsia="en-GB"/>
        </w:rPr>
      </w:pPr>
    </w:p>
    <w:p w14:paraId="1BC1D731" w14:textId="77777777" w:rsidR="002C59D8" w:rsidRPr="002C59D8" w:rsidRDefault="002C59D8" w:rsidP="002C59D8">
      <w:pPr>
        <w:spacing w:after="0" w:line="240" w:lineRule="auto"/>
        <w:rPr>
          <w:rFonts w:eastAsia="Times New Roman" w:cs="Arial"/>
          <w:szCs w:val="20"/>
          <w:lang w:val="en-GB" w:eastAsia="en-GB"/>
        </w:rPr>
      </w:pPr>
    </w:p>
    <w:p w14:paraId="76694465" w14:textId="77777777" w:rsidR="002C59D8" w:rsidRPr="002C59D8" w:rsidRDefault="002C59D8" w:rsidP="002C59D8">
      <w:pPr>
        <w:spacing w:after="0" w:line="240" w:lineRule="auto"/>
        <w:rPr>
          <w:rFonts w:eastAsia="Times New Roman" w:cs="Arial"/>
          <w:b/>
          <w:szCs w:val="20"/>
          <w:lang w:val="en-GB" w:eastAsia="en-GB"/>
        </w:rPr>
      </w:pPr>
      <w:r w:rsidRPr="002C59D8">
        <w:rPr>
          <w:rFonts w:eastAsia="Times New Roman" w:cs="Arial"/>
          <w:b/>
          <w:szCs w:val="20"/>
          <w:lang w:val="en-GB" w:eastAsia="en-GB"/>
        </w:rPr>
        <w:t>Health</w:t>
      </w:r>
    </w:p>
    <w:p w14:paraId="3F71CF7A" w14:textId="77777777" w:rsidR="002C59D8" w:rsidRPr="002C59D8" w:rsidRDefault="002C59D8" w:rsidP="002C59D8">
      <w:pPr>
        <w:spacing w:after="0" w:line="240" w:lineRule="auto"/>
        <w:rPr>
          <w:rFonts w:eastAsia="Times New Roman" w:cs="Arial"/>
          <w:szCs w:val="20"/>
          <w:lang w:val="en-GB" w:eastAsia="en-GB"/>
        </w:rPr>
      </w:pPr>
      <w:r w:rsidRPr="002C59D8">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C314DAC" w14:textId="77777777" w:rsidR="002C59D8" w:rsidRPr="002C59D8" w:rsidRDefault="002C59D8" w:rsidP="002C59D8">
      <w:pPr>
        <w:spacing w:after="0" w:line="240" w:lineRule="auto"/>
        <w:rPr>
          <w:rFonts w:eastAsia="Times New Roman" w:cs="Arial"/>
          <w:szCs w:val="20"/>
          <w:lang w:val="en-GB" w:eastAsia="en-GB"/>
        </w:rPr>
      </w:pPr>
    </w:p>
    <w:p w14:paraId="5A7D647F" w14:textId="77777777" w:rsidR="002C59D8" w:rsidRPr="002C59D8" w:rsidRDefault="002C59D8" w:rsidP="002C59D8">
      <w:pPr>
        <w:spacing w:after="0" w:line="240" w:lineRule="auto"/>
        <w:ind w:right="-766"/>
        <w:rPr>
          <w:rFonts w:eastAsia="Times New Roman" w:cs="Arial"/>
          <w:iCs/>
          <w:szCs w:val="20"/>
          <w:lang w:val="en-GB" w:eastAsia="en-GB"/>
        </w:rPr>
      </w:pPr>
      <w:r w:rsidRPr="002C59D8">
        <w:rPr>
          <w:rFonts w:eastAsia="Times New Roman" w:cs="Arial"/>
          <w:b/>
          <w:bCs/>
          <w:szCs w:val="20"/>
          <w:lang w:val="en-GB" w:eastAsia="en-GB"/>
        </w:rPr>
        <w:t>Character</w:t>
      </w:r>
    </w:p>
    <w:p w14:paraId="17855200" w14:textId="77777777" w:rsidR="002C59D8" w:rsidRPr="002C59D8" w:rsidRDefault="002C59D8" w:rsidP="002C59D8">
      <w:pPr>
        <w:spacing w:after="0" w:line="240" w:lineRule="auto"/>
        <w:ind w:right="-766"/>
        <w:rPr>
          <w:rFonts w:eastAsia="Times New Roman" w:cs="Arial"/>
          <w:szCs w:val="20"/>
          <w:lang w:val="en-GB" w:eastAsia="en-GB"/>
        </w:rPr>
      </w:pPr>
      <w:r w:rsidRPr="002C59D8">
        <w:rPr>
          <w:rFonts w:eastAsia="Times New Roman" w:cs="Arial"/>
          <w:szCs w:val="20"/>
          <w:lang w:val="en-GB" w:eastAsia="en-GB"/>
        </w:rPr>
        <w:t>Each candidate for and any person holding the office must be of good character.</w:t>
      </w:r>
    </w:p>
    <w:p w14:paraId="480A79AD" w14:textId="77777777" w:rsidR="002C59D8" w:rsidRDefault="002C59D8"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647DC564"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E55DA26"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6255591"/>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6255592"/>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BA3AB7"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BA3AB7"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BA3AB7"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BA3AB7"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6255593"/>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25A7DCB4" w:rsidR="006F0040" w:rsidRDefault="006F0040" w:rsidP="006F0040"/>
    <w:p w14:paraId="33CAB723" w14:textId="02E09A14" w:rsidR="00464638" w:rsidRDefault="00464638" w:rsidP="006F0040"/>
    <w:p w14:paraId="7D839501" w14:textId="21E970E6" w:rsidR="00464638" w:rsidRDefault="00464638" w:rsidP="006F0040"/>
    <w:p w14:paraId="139CFAA7" w14:textId="77777777" w:rsidR="00464638" w:rsidRDefault="00464638" w:rsidP="006F0040"/>
    <w:p w14:paraId="05891266" w14:textId="77777777" w:rsidR="006F0040" w:rsidRDefault="006F0040" w:rsidP="006F0040">
      <w:pPr>
        <w:pStyle w:val="Heading2"/>
      </w:pPr>
      <w:bookmarkStart w:id="25" w:name="_Appendix:_5_Panel"/>
      <w:bookmarkStart w:id="26" w:name="_Toc216255594"/>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2B6C03"/>
    <w:rsid w:val="002C59D8"/>
    <w:rsid w:val="0043067A"/>
    <w:rsid w:val="00430805"/>
    <w:rsid w:val="00464638"/>
    <w:rsid w:val="004F19F1"/>
    <w:rsid w:val="006F0040"/>
    <w:rsid w:val="007C430E"/>
    <w:rsid w:val="00A21349"/>
    <w:rsid w:val="00BA3AB7"/>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5788</Words>
  <Characters>32994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7</cp:revision>
  <dcterms:created xsi:type="dcterms:W3CDTF">2025-12-10T10:32:00Z</dcterms:created>
  <dcterms:modified xsi:type="dcterms:W3CDTF">2025-12-10T10:39:00Z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