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E1CD8CD" w:rsidR="00FE0207" w:rsidRDefault="001C2FB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Therapy Assistant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455D7683" w:rsidR="00B019B1" w:rsidRDefault="001C2FB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GUHTA2025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38E73C4"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1C2FB0">
              <w:rPr>
                <w:rFonts w:ascii="Calibri" w:eastAsia="Calibri" w:hAnsi="Calibri" w:cs="Calibri"/>
                <w:b/>
                <w:bCs/>
                <w:i/>
                <w:color w:val="000000"/>
                <w:lang w:eastAsia="en-IE"/>
              </w:rPr>
              <w:t xml:space="preserve">10.00am on </w:t>
            </w:r>
            <w:r w:rsidR="00A332F7">
              <w:rPr>
                <w:rFonts w:ascii="Calibri" w:eastAsia="Calibri" w:hAnsi="Calibri" w:cs="Calibri"/>
                <w:b/>
                <w:bCs/>
                <w:i/>
                <w:color w:val="000000"/>
                <w:lang w:eastAsia="en-IE"/>
              </w:rPr>
              <w:t>Friday</w:t>
            </w:r>
            <w:r w:rsidR="001C2FB0">
              <w:rPr>
                <w:rFonts w:ascii="Calibri" w:eastAsia="Calibri" w:hAnsi="Calibri" w:cs="Calibri"/>
                <w:b/>
                <w:bCs/>
                <w:i/>
                <w:color w:val="000000"/>
                <w:lang w:eastAsia="en-IE"/>
              </w:rPr>
              <w:t xml:space="preserve">, </w:t>
            </w:r>
            <w:r w:rsidR="009D06AA">
              <w:rPr>
                <w:rFonts w:ascii="Calibri" w:eastAsia="Calibri" w:hAnsi="Calibri" w:cs="Calibri"/>
                <w:b/>
                <w:bCs/>
                <w:i/>
                <w:color w:val="000000"/>
                <w:lang w:eastAsia="en-IE"/>
              </w:rPr>
              <w:t>1</w:t>
            </w:r>
            <w:r w:rsidR="00A332F7">
              <w:rPr>
                <w:rFonts w:ascii="Calibri" w:eastAsia="Calibri" w:hAnsi="Calibri" w:cs="Calibri"/>
                <w:b/>
                <w:bCs/>
                <w:i/>
                <w:color w:val="000000"/>
                <w:lang w:eastAsia="en-IE"/>
              </w:rPr>
              <w:t>8</w:t>
            </w:r>
            <w:r w:rsidR="001C2FB0" w:rsidRPr="001C2FB0">
              <w:rPr>
                <w:rFonts w:ascii="Calibri" w:eastAsia="Calibri" w:hAnsi="Calibri" w:cs="Calibri"/>
                <w:b/>
                <w:bCs/>
                <w:i/>
                <w:color w:val="000000"/>
                <w:vertAlign w:val="superscript"/>
                <w:lang w:eastAsia="en-IE"/>
              </w:rPr>
              <w:t>th</w:t>
            </w:r>
            <w:r w:rsidR="001C2FB0">
              <w:rPr>
                <w:rFonts w:ascii="Calibri" w:eastAsia="Calibri" w:hAnsi="Calibri" w:cs="Calibri"/>
                <w:b/>
                <w:bCs/>
                <w:i/>
                <w:color w:val="000000"/>
                <w:lang w:eastAsia="en-IE"/>
              </w:rPr>
              <w:t xml:space="preserve"> July 202</w:t>
            </w:r>
            <w:r w:rsidR="001C2FB0" w:rsidRPr="001C2FB0">
              <w:rPr>
                <w:rFonts w:ascii="Calibri" w:eastAsia="Calibri" w:hAnsi="Calibri" w:cs="Calibri"/>
                <w:b/>
                <w:bCs/>
                <w:i/>
                <w:color w:val="000000"/>
                <w:lang w:eastAsia="en-IE"/>
              </w:rPr>
              <w:t>5</w:t>
            </w:r>
            <w:r w:rsidR="004E3BB3" w:rsidRPr="001C2FB0">
              <w:rPr>
                <w:rFonts w:ascii="Calibri" w:eastAsia="Calibri" w:hAnsi="Calibri" w:cs="Calibri"/>
                <w:b/>
                <w:bCs/>
                <w:i/>
                <w:color w:val="000000"/>
                <w:lang w:eastAsia="en-IE"/>
              </w:rPr>
              <w:t>,</w:t>
            </w:r>
            <w:r w:rsidR="004E3BB3">
              <w:rPr>
                <w:rFonts w:ascii="Calibri" w:eastAsia="Calibri" w:hAnsi="Calibri" w:cs="Calibri"/>
                <w:b/>
                <w:bCs/>
                <w:i/>
                <w:color w:val="000000"/>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381D30F" w:rsidR="00B019B1" w:rsidRPr="00B019B1" w:rsidRDefault="001C2FB0"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GUHTA2025 Therapy Assistant</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332F7">
        <w:rPr>
          <w:rFonts w:eastAsia="Times New Roman" w:cstheme="minorHAnsi"/>
          <w:lang w:eastAsia="en-IE"/>
        </w:rPr>
      </w:r>
      <w:r w:rsidR="00A332F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332F7">
        <w:rPr>
          <w:rFonts w:eastAsia="Times New Roman" w:cstheme="minorHAnsi"/>
          <w:lang w:eastAsia="en-IE"/>
        </w:rPr>
      </w:r>
      <w:r w:rsidR="00A332F7">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332F7">
              <w:rPr>
                <w:rFonts w:eastAsia="Times New Roman" w:cstheme="minorHAnsi"/>
                <w:color w:val="000000"/>
                <w:lang w:eastAsia="en-IE"/>
              </w:rPr>
            </w:r>
            <w:r w:rsidR="00A332F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332F7">
        <w:rPr>
          <w:rFonts w:ascii="Arial" w:eastAsia="Times New Roman" w:hAnsi="Arial" w:cs="Times New Roman"/>
          <w:sz w:val="20"/>
          <w:szCs w:val="20"/>
          <w:lang w:val="en-US"/>
        </w:rPr>
      </w:r>
      <w:r w:rsidR="00A332F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0E1CF5AD" w:rsidR="00B019B1" w:rsidRDefault="00B019B1" w:rsidP="00B019B1">
      <w:pPr>
        <w:rPr>
          <w:bCs/>
          <w:color w:val="000000"/>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39862067" w14:textId="77777777" w:rsidR="001C2FB0" w:rsidRPr="00C16680" w:rsidRDefault="001C2FB0" w:rsidP="001C2FB0">
      <w:pPr>
        <w:suppressAutoHyphens/>
        <w:spacing w:after="0" w:line="240" w:lineRule="auto"/>
        <w:jc w:val="both"/>
        <w:rPr>
          <w:rFonts w:ascii="Arial" w:eastAsia="Times New Roman" w:hAnsi="Arial" w:cs="Arial"/>
          <w:b/>
          <w:bCs/>
          <w:sz w:val="20"/>
          <w:szCs w:val="20"/>
          <w:lang w:val="en-GB" w:eastAsia="zh-CN"/>
        </w:rPr>
      </w:pPr>
      <w:r w:rsidRPr="00C16680">
        <w:rPr>
          <w:rFonts w:ascii="Arial" w:eastAsia="Times New Roman" w:hAnsi="Arial" w:cs="Arial"/>
          <w:b/>
          <w:bCs/>
          <w:sz w:val="20"/>
          <w:szCs w:val="20"/>
          <w:lang w:val="en-GB" w:eastAsia="zh-CN"/>
        </w:rPr>
        <w:t xml:space="preserve">In this area of the application form we ask you to please outline your qualifications and professional experience.  </w:t>
      </w:r>
    </w:p>
    <w:p w14:paraId="6995D300" w14:textId="77777777" w:rsidR="001C2FB0" w:rsidRPr="00C16680" w:rsidRDefault="001C2FB0" w:rsidP="001C2FB0">
      <w:pPr>
        <w:suppressAutoHyphens/>
        <w:spacing w:after="0" w:line="240" w:lineRule="auto"/>
        <w:jc w:val="both"/>
        <w:rPr>
          <w:rFonts w:ascii="Arial" w:eastAsia="Times New Roman" w:hAnsi="Arial" w:cs="Arial"/>
          <w:b/>
          <w:bCs/>
          <w:sz w:val="20"/>
          <w:szCs w:val="20"/>
          <w:lang w:val="en-GB" w:eastAsia="zh-CN"/>
        </w:rPr>
      </w:pPr>
    </w:p>
    <w:p w14:paraId="33CCA10F" w14:textId="77777777" w:rsidR="001C2FB0" w:rsidRPr="00C16680" w:rsidRDefault="001C2FB0" w:rsidP="001C2FB0">
      <w:pPr>
        <w:suppressAutoHyphens/>
        <w:spacing w:after="0" w:line="240" w:lineRule="auto"/>
        <w:jc w:val="both"/>
        <w:rPr>
          <w:rFonts w:ascii="Arial" w:eastAsia="Times New Roman" w:hAnsi="Arial" w:cs="Arial"/>
          <w:b/>
          <w:bCs/>
          <w:sz w:val="20"/>
          <w:szCs w:val="20"/>
          <w:lang w:val="en-GB" w:eastAsia="zh-CN"/>
        </w:rPr>
      </w:pPr>
      <w:r w:rsidRPr="00C16680">
        <w:rPr>
          <w:rFonts w:ascii="Arial" w:eastAsia="Times New Roman" w:hAnsi="Arial" w:cs="Arial"/>
          <w:b/>
          <w:bCs/>
          <w:sz w:val="20"/>
          <w:szCs w:val="20"/>
          <w:lang w:val="en-GB" w:eastAsia="zh-CN"/>
        </w:rPr>
        <w:t xml:space="preserve">We will then examine how your particular experience and qualifications meet any specific criteria for the post of Health Care Assistant.  </w:t>
      </w:r>
      <w:r w:rsidRPr="00C16680">
        <w:rPr>
          <w:rFonts w:ascii="Arial" w:eastAsia="Times New Roman" w:hAnsi="Arial" w:cs="Arial"/>
          <w:b/>
          <w:sz w:val="20"/>
          <w:szCs w:val="20"/>
          <w:lang w:val="en-GB" w:eastAsia="zh-CN"/>
        </w:rPr>
        <w:t>Educational eligibility will be decided based on the information provided here.</w:t>
      </w:r>
      <w:r w:rsidRPr="00C16680">
        <w:rPr>
          <w:rFonts w:ascii="Arial" w:eastAsia="Times New Roman" w:hAnsi="Arial" w:cs="Arial"/>
          <w:b/>
          <w:bCs/>
          <w:sz w:val="20"/>
          <w:szCs w:val="20"/>
          <w:lang w:val="en-GB" w:eastAsia="zh-CN"/>
        </w:rPr>
        <w:t xml:space="preserve"> Please note if you omit information in this section pertinent to the eligibility criteria you may be deemed ineligible and subsequently not called to interview</w:t>
      </w:r>
    </w:p>
    <w:p w14:paraId="4C4B922B" w14:textId="77777777" w:rsidR="001C2FB0" w:rsidRPr="00C16680" w:rsidRDefault="001C2FB0" w:rsidP="001C2FB0">
      <w:pPr>
        <w:suppressAutoHyphens/>
        <w:spacing w:after="0" w:line="240" w:lineRule="auto"/>
        <w:jc w:val="both"/>
        <w:rPr>
          <w:rFonts w:ascii="Arial" w:eastAsia="Times New Roman" w:hAnsi="Arial" w:cs="Arial"/>
          <w:b/>
          <w:bCs/>
          <w:sz w:val="20"/>
          <w:szCs w:val="20"/>
          <w:lang w:val="en-GB" w:eastAsia="zh-CN"/>
        </w:rPr>
      </w:pPr>
    </w:p>
    <w:p w14:paraId="0A334DAC" w14:textId="77777777" w:rsidR="001C2FB0" w:rsidRPr="00C16680" w:rsidRDefault="001C2FB0" w:rsidP="001C2FB0">
      <w:pPr>
        <w:suppressAutoHyphens/>
        <w:spacing w:after="0" w:line="240" w:lineRule="auto"/>
        <w:jc w:val="both"/>
        <w:rPr>
          <w:rFonts w:ascii="Arial" w:eastAsia="Times New Roman" w:hAnsi="Arial" w:cs="Arial"/>
          <w:b/>
          <w:bCs/>
          <w:sz w:val="20"/>
          <w:szCs w:val="20"/>
          <w:u w:val="single"/>
          <w:lang w:val="en-GB" w:eastAsia="zh-CN"/>
        </w:rPr>
      </w:pPr>
      <w:r w:rsidRPr="00C16680">
        <w:rPr>
          <w:rFonts w:ascii="Arial" w:eastAsia="Times New Roman" w:hAnsi="Arial" w:cs="Arial"/>
          <w:b/>
          <w:bCs/>
          <w:sz w:val="20"/>
          <w:szCs w:val="20"/>
          <w:u w:val="single"/>
          <w:lang w:val="en-GB" w:eastAsia="zh-CN"/>
        </w:rPr>
        <w:t xml:space="preserve">Please tick below which applies to your individual educational qualification(s) in the box provided </w:t>
      </w:r>
    </w:p>
    <w:p w14:paraId="6D376EFD" w14:textId="77777777" w:rsidR="001C2FB0" w:rsidRPr="00C16680" w:rsidRDefault="001C2FB0" w:rsidP="001C2FB0">
      <w:pPr>
        <w:suppressAutoHyphens/>
        <w:spacing w:after="0" w:line="240" w:lineRule="auto"/>
        <w:jc w:val="both"/>
        <w:rPr>
          <w:rFonts w:ascii="Arial" w:eastAsia="Times New Roman" w:hAnsi="Arial" w:cs="Arial"/>
          <w:b/>
          <w:bCs/>
          <w:sz w:val="20"/>
          <w:szCs w:val="20"/>
          <w:lang w:val="en-GB" w:eastAsia="zh-CN"/>
        </w:rPr>
      </w:pPr>
    </w:p>
    <w:p w14:paraId="08099AA9" w14:textId="12940DE0" w:rsidR="001C2FB0" w:rsidRPr="001C2FB0" w:rsidRDefault="001C2FB0" w:rsidP="001C2FB0">
      <w:pPr>
        <w:suppressAutoHyphens/>
        <w:spacing w:after="120" w:line="240" w:lineRule="auto"/>
        <w:ind w:hanging="426"/>
        <w:jc w:val="both"/>
        <w:rPr>
          <w:rFonts w:ascii="Arial" w:eastAsia="Times New Roman" w:hAnsi="Arial" w:cs="Arial"/>
          <w:b/>
          <w:bCs/>
          <w:sz w:val="20"/>
          <w:szCs w:val="20"/>
          <w:lang w:val="en-GB" w:eastAsia="zh-CN"/>
        </w:rPr>
      </w:pPr>
      <w:r w:rsidRPr="00C16680">
        <w:rPr>
          <w:rFonts w:ascii="Arial" w:eastAsia="Times New Roman" w:hAnsi="Arial" w:cs="Arial"/>
          <w:b/>
          <w:bCs/>
          <w:sz w:val="20"/>
          <w:szCs w:val="20"/>
          <w:lang w:val="en-GB" w:eastAsia="zh-CN"/>
        </w:rPr>
        <w:t xml:space="preserve">        Eligible candidates will be those who on the closing date for the competition who:</w:t>
      </w:r>
    </w:p>
    <w:tbl>
      <w:tblPr>
        <w:tblW w:w="9817" w:type="dxa"/>
        <w:tblInd w:w="103" w:type="dxa"/>
        <w:tblBorders>
          <w:bottom w:val="single" w:sz="4" w:space="0" w:color="000000"/>
          <w:insideH w:val="single" w:sz="4" w:space="0" w:color="000000"/>
        </w:tblBorders>
        <w:tblLook w:val="0000" w:firstRow="0" w:lastRow="0" w:firstColumn="0" w:lastColumn="0" w:noHBand="0" w:noVBand="0"/>
      </w:tblPr>
      <w:tblGrid>
        <w:gridCol w:w="8505"/>
        <w:gridCol w:w="1312"/>
      </w:tblGrid>
      <w:tr w:rsidR="001C2FB0" w:rsidRPr="00C16680" w14:paraId="016046D4" w14:textId="77777777" w:rsidTr="006B353F">
        <w:trPr>
          <w:trHeight w:val="898"/>
        </w:trPr>
        <w:tc>
          <w:tcPr>
            <w:tcW w:w="8544" w:type="dxa"/>
            <w:tcBorders>
              <w:top w:val="nil"/>
              <w:left w:val="nil"/>
              <w:bottom w:val="single" w:sz="4" w:space="0" w:color="auto"/>
              <w:right w:val="single" w:sz="4" w:space="0" w:color="auto"/>
            </w:tcBorders>
            <w:shd w:val="clear" w:color="auto" w:fill="FFFFFF"/>
            <w:tcMar>
              <w:left w:w="103" w:type="dxa"/>
            </w:tcMar>
          </w:tcPr>
          <w:p w14:paraId="5043B5DE" w14:textId="77777777" w:rsidR="001C2FB0" w:rsidRPr="00C16680" w:rsidRDefault="001C2FB0" w:rsidP="006B353F">
            <w:pPr>
              <w:tabs>
                <w:tab w:val="left" w:pos="2010"/>
              </w:tabs>
              <w:suppressAutoHyphens/>
              <w:spacing w:after="0" w:line="240" w:lineRule="auto"/>
              <w:rPr>
                <w:rFonts w:ascii="Arial" w:eastAsia="Times New Roman" w:hAnsi="Arial" w:cs="Arial"/>
                <w:sz w:val="20"/>
                <w:szCs w:val="20"/>
                <w:highlight w:val="lightGray"/>
                <w:lang w:val="en-GB" w:eastAsia="zh-CN"/>
              </w:rPr>
            </w:pPr>
          </w:p>
        </w:tc>
        <w:tc>
          <w:tcPr>
            <w:tcW w:w="1273" w:type="dxa"/>
            <w:tcBorders>
              <w:top w:val="single" w:sz="4" w:space="0" w:color="000000"/>
              <w:left w:val="single" w:sz="4" w:space="0" w:color="auto"/>
              <w:bottom w:val="single" w:sz="4" w:space="0" w:color="auto"/>
              <w:right w:val="single" w:sz="4" w:space="0" w:color="auto"/>
            </w:tcBorders>
            <w:shd w:val="clear" w:color="auto" w:fill="D9D9D9"/>
            <w:tcMar>
              <w:left w:w="103" w:type="dxa"/>
            </w:tcMar>
          </w:tcPr>
          <w:p w14:paraId="50A4EEB2" w14:textId="77777777" w:rsidR="001C2FB0" w:rsidRPr="00C16680" w:rsidRDefault="001C2FB0" w:rsidP="006B353F">
            <w:pPr>
              <w:suppressAutoHyphens/>
              <w:spacing w:after="0" w:line="240" w:lineRule="auto"/>
              <w:jc w:val="center"/>
              <w:rPr>
                <w:rFonts w:ascii="Arial" w:eastAsia="Times New Roman" w:hAnsi="Arial" w:cs="Arial"/>
                <w:b/>
                <w:bCs/>
                <w:sz w:val="20"/>
                <w:szCs w:val="20"/>
                <w:highlight w:val="lightGray"/>
                <w:lang w:val="en-GB" w:eastAsia="zh-CN"/>
              </w:rPr>
            </w:pPr>
            <w:r w:rsidRPr="00C16680">
              <w:rPr>
                <w:rFonts w:ascii="Arial" w:eastAsia="Times New Roman" w:hAnsi="Arial" w:cs="Arial"/>
                <w:b/>
                <w:bCs/>
                <w:sz w:val="20"/>
                <w:szCs w:val="20"/>
                <w:highlight w:val="lightGray"/>
                <w:lang w:val="en-GB" w:eastAsia="zh-CN"/>
              </w:rPr>
              <w:t>Please tick as appropriate what applies to you currently</w:t>
            </w:r>
          </w:p>
          <w:p w14:paraId="626615D4"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highlight w:val="lightGray"/>
                <w:lang w:val="en-GB" w:eastAsia="zh-CN"/>
              </w:rPr>
            </w:pPr>
          </w:p>
        </w:tc>
      </w:tr>
      <w:tr w:rsidR="001C2FB0" w:rsidRPr="00C16680" w14:paraId="50F46BA5" w14:textId="77777777" w:rsidTr="006B353F">
        <w:trPr>
          <w:trHeight w:val="779"/>
        </w:trPr>
        <w:tc>
          <w:tcPr>
            <w:tcW w:w="8544" w:type="dxa"/>
            <w:tcBorders>
              <w:top w:val="single" w:sz="4" w:space="0" w:color="auto"/>
              <w:left w:val="single" w:sz="4" w:space="0" w:color="000000"/>
              <w:bottom w:val="single" w:sz="4" w:space="0" w:color="auto"/>
            </w:tcBorders>
            <w:shd w:val="clear" w:color="auto" w:fill="D9D9D9"/>
            <w:tcMar>
              <w:left w:w="103" w:type="dxa"/>
            </w:tcMar>
          </w:tcPr>
          <w:p w14:paraId="6589DA33" w14:textId="77777777" w:rsidR="001C2FB0" w:rsidRPr="00C16680" w:rsidRDefault="001C2FB0" w:rsidP="006B353F">
            <w:pPr>
              <w:autoSpaceDE w:val="0"/>
              <w:autoSpaceDN w:val="0"/>
              <w:adjustRightInd w:val="0"/>
              <w:spacing w:after="0" w:line="240" w:lineRule="auto"/>
              <w:rPr>
                <w:rFonts w:ascii="Arial" w:eastAsia="Times New Roman" w:hAnsi="Arial" w:cs="Arial"/>
                <w:color w:val="000000"/>
                <w:sz w:val="20"/>
                <w:szCs w:val="20"/>
                <w:lang w:val="en-US"/>
              </w:rPr>
            </w:pPr>
          </w:p>
          <w:p w14:paraId="271AD0DD" w14:textId="77777777" w:rsidR="001C2FB0" w:rsidRP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 xml:space="preserve">(i) Possess a relevant* health skills QQI Level 5 qualification (formerly FETAC) having achieved the associated Level 5 minor awards in both Occupational Therapy Assistant Theory and Occupational Therapy Assistant Practice / in both Physiotherapy Assistant Theory and Physiotherapy Assistant Practice / in both Speech and Language Assistant Theory and Speech and Language Assistant Practice at QQI Level 5 on the National Framework of Qualifications (NFQ) </w:t>
            </w:r>
          </w:p>
          <w:p w14:paraId="09773E11" w14:textId="77777777" w:rsidR="001C2FB0" w:rsidRPr="00C16680" w:rsidRDefault="001C2FB0" w:rsidP="006B353F">
            <w:pPr>
              <w:spacing w:after="0" w:line="240" w:lineRule="auto"/>
              <w:ind w:right="-766"/>
              <w:rPr>
                <w:rFonts w:ascii="Calibri" w:eastAsia="Times New Roman" w:hAnsi="Calibri" w:cs="Calibri"/>
                <w:iCs/>
                <w:color w:val="222222"/>
                <w:shd w:val="clear" w:color="auto" w:fill="FFFFFF"/>
                <w:lang w:val="en-GB" w:eastAsia="en-GB"/>
              </w:rPr>
            </w:pPr>
            <w:r w:rsidRPr="00C16680">
              <w:rPr>
                <w:rFonts w:ascii="Calibri" w:eastAsia="Times New Roman" w:hAnsi="Calibri" w:cs="Calibri"/>
                <w:iCs/>
                <w:color w:val="222222"/>
                <w:highlight w:val="lightGray"/>
                <w:shd w:val="clear" w:color="auto" w:fill="FFFFFF"/>
                <w:lang w:val="en-GB" w:eastAsia="en-GB"/>
              </w:rPr>
              <w:t>(See note* below)</w:t>
            </w:r>
          </w:p>
          <w:p w14:paraId="3E94C5CD" w14:textId="77777777" w:rsidR="001C2FB0" w:rsidRPr="00C16680" w:rsidRDefault="001C2FB0" w:rsidP="006B353F">
            <w:pPr>
              <w:autoSpaceDE w:val="0"/>
              <w:autoSpaceDN w:val="0"/>
              <w:adjustRightInd w:val="0"/>
              <w:spacing w:after="0" w:line="240" w:lineRule="auto"/>
              <w:ind w:left="720"/>
              <w:jc w:val="center"/>
              <w:rPr>
                <w:rFonts w:ascii="Arial" w:eastAsia="Times New Roman" w:hAnsi="Arial" w:cs="Arial"/>
                <w:sz w:val="20"/>
                <w:szCs w:val="20"/>
                <w:lang w:eastAsia="en-IE"/>
              </w:rPr>
            </w:pPr>
          </w:p>
          <w:p w14:paraId="6C752914" w14:textId="77777777" w:rsidR="001C2FB0" w:rsidRPr="00C16680" w:rsidRDefault="001C2FB0" w:rsidP="001C2FB0">
            <w:pPr>
              <w:autoSpaceDE w:val="0"/>
              <w:autoSpaceDN w:val="0"/>
              <w:adjustRightInd w:val="0"/>
              <w:spacing w:after="0" w:line="240" w:lineRule="auto"/>
              <w:jc w:val="center"/>
              <w:rPr>
                <w:rFonts w:ascii="Arial" w:eastAsia="Times New Roman" w:hAnsi="Arial" w:cs="Arial"/>
                <w:sz w:val="20"/>
                <w:szCs w:val="20"/>
                <w:lang w:eastAsia="en-IE"/>
              </w:rPr>
            </w:pPr>
            <w:r w:rsidRPr="00C16680">
              <w:rPr>
                <w:rFonts w:ascii="Arial" w:eastAsia="Times New Roman" w:hAnsi="Arial" w:cs="Arial"/>
                <w:b/>
                <w:sz w:val="20"/>
                <w:szCs w:val="20"/>
                <w:lang w:eastAsia="en-IE"/>
              </w:rPr>
              <w:t>OR</w:t>
            </w:r>
          </w:p>
          <w:p w14:paraId="65B5DBC6" w14:textId="77777777" w:rsidR="001C2FB0" w:rsidRPr="00C16680" w:rsidRDefault="001C2FB0" w:rsidP="006B353F">
            <w:pPr>
              <w:suppressAutoHyphens/>
              <w:spacing w:after="0" w:line="240" w:lineRule="auto"/>
              <w:jc w:val="center"/>
              <w:rPr>
                <w:rFonts w:ascii="Arial" w:eastAsia="Times New Roman" w:hAnsi="Arial" w:cs="Arial"/>
                <w:b/>
                <w:bCs/>
                <w:sz w:val="20"/>
                <w:szCs w:val="20"/>
                <w:lang w:val="en-GB" w:eastAsia="zh-CN"/>
              </w:rPr>
            </w:pPr>
          </w:p>
        </w:tc>
        <w:tc>
          <w:tcPr>
            <w:tcW w:w="1273"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0CBD3059"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lang w:val="en-GB" w:eastAsia="zh-CN"/>
              </w:rPr>
            </w:pPr>
          </w:p>
        </w:tc>
      </w:tr>
      <w:tr w:rsidR="001C2FB0" w:rsidRPr="00C16680" w14:paraId="7B880793" w14:textId="77777777" w:rsidTr="006B353F">
        <w:trPr>
          <w:trHeight w:val="373"/>
        </w:trPr>
        <w:tc>
          <w:tcPr>
            <w:tcW w:w="8544" w:type="dxa"/>
            <w:tcBorders>
              <w:top w:val="single" w:sz="4" w:space="0" w:color="auto"/>
              <w:left w:val="single" w:sz="4" w:space="0" w:color="000000"/>
              <w:bottom w:val="single" w:sz="4" w:space="0" w:color="auto"/>
            </w:tcBorders>
            <w:shd w:val="clear" w:color="auto" w:fill="D9D9D9"/>
            <w:tcMar>
              <w:left w:w="103" w:type="dxa"/>
            </w:tcMar>
          </w:tcPr>
          <w:p w14:paraId="4BD28450" w14:textId="77777777" w:rsidR="001C2FB0" w:rsidRPr="00C16680" w:rsidRDefault="001C2FB0" w:rsidP="006B353F">
            <w:pPr>
              <w:autoSpaceDE w:val="0"/>
              <w:autoSpaceDN w:val="0"/>
              <w:adjustRightInd w:val="0"/>
              <w:spacing w:after="0" w:line="240" w:lineRule="auto"/>
              <w:rPr>
                <w:rFonts w:ascii="Arial" w:eastAsia="Times New Roman" w:hAnsi="Arial" w:cs="Arial"/>
                <w:sz w:val="20"/>
                <w:szCs w:val="20"/>
                <w:highlight w:val="lightGray"/>
                <w:lang w:eastAsia="en-IE"/>
              </w:rPr>
            </w:pPr>
          </w:p>
          <w:p w14:paraId="34F84DF3" w14:textId="77777777" w:rsidR="001C2FB0" w:rsidRP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 xml:space="preserve">(ii) Possess a relevant Healthcare qualification at not less than QQI Level 5 on the </w:t>
            </w:r>
          </w:p>
          <w:p w14:paraId="34D32C09" w14:textId="131DFB1D" w:rsidR="001C2FB0" w:rsidRP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National Framework of Qualifications (NFQ) and give an undertaking to successfully complete an approved programme leading to QQI Level 5 minor awards in both Occupational Therapy Assistant Theory and Occupational Therapy Assistant Practice / in both Physiotherapy Assistant Theory and Physiotherapy Assistant Practice / in both Speech and Language Assistant Theory and Speech and Language Assistant Practice within 1 year of taking up duty.</w:t>
            </w:r>
          </w:p>
          <w:p w14:paraId="3F575853" w14:textId="01537B97" w:rsidR="001C2FB0" w:rsidRPr="00916182" w:rsidRDefault="001C2FB0" w:rsidP="00916182">
            <w:pPr>
              <w:spacing w:after="0" w:line="240" w:lineRule="auto"/>
              <w:ind w:right="-766"/>
              <w:rPr>
                <w:rFonts w:ascii="Calibri" w:eastAsia="Times New Roman" w:hAnsi="Calibri" w:cs="Calibri"/>
                <w:iCs/>
                <w:color w:val="222222"/>
                <w:shd w:val="clear" w:color="auto" w:fill="FFFFFF"/>
                <w:lang w:val="en-GB" w:eastAsia="en-GB"/>
              </w:rPr>
            </w:pPr>
            <w:r w:rsidRPr="00C16680">
              <w:rPr>
                <w:rFonts w:ascii="Calibri" w:eastAsia="Times New Roman" w:hAnsi="Calibri" w:cs="Calibri"/>
                <w:iCs/>
                <w:color w:val="222222"/>
                <w:highlight w:val="lightGray"/>
                <w:shd w:val="clear" w:color="auto" w:fill="FFFFFF"/>
                <w:lang w:val="en-GB" w:eastAsia="en-GB"/>
              </w:rPr>
              <w:t>(See note* below)</w:t>
            </w:r>
          </w:p>
          <w:p w14:paraId="14E44045" w14:textId="77777777" w:rsidR="001C2FB0" w:rsidRPr="00C16680" w:rsidRDefault="001C2FB0" w:rsidP="006B353F">
            <w:pPr>
              <w:autoSpaceDE w:val="0"/>
              <w:autoSpaceDN w:val="0"/>
              <w:adjustRightInd w:val="0"/>
              <w:spacing w:after="0" w:line="240" w:lineRule="auto"/>
              <w:ind w:left="720"/>
              <w:rPr>
                <w:rFonts w:ascii="Arial" w:eastAsia="Times New Roman" w:hAnsi="Arial" w:cs="Arial"/>
                <w:b/>
                <w:sz w:val="20"/>
                <w:szCs w:val="20"/>
                <w:highlight w:val="lightGray"/>
                <w:lang w:eastAsia="en-IE"/>
              </w:rPr>
            </w:pPr>
          </w:p>
          <w:p w14:paraId="138261EC" w14:textId="037A59BA" w:rsidR="001C2FB0" w:rsidRPr="00C16680" w:rsidRDefault="001C2FB0" w:rsidP="001C2FB0">
            <w:pPr>
              <w:autoSpaceDE w:val="0"/>
              <w:autoSpaceDN w:val="0"/>
              <w:adjustRightInd w:val="0"/>
              <w:spacing w:after="0" w:line="240" w:lineRule="auto"/>
              <w:jc w:val="center"/>
              <w:rPr>
                <w:rFonts w:ascii="Arial" w:eastAsia="Times New Roman" w:hAnsi="Arial" w:cs="Arial"/>
                <w:b/>
                <w:sz w:val="20"/>
                <w:szCs w:val="20"/>
                <w:highlight w:val="lightGray"/>
                <w:lang w:eastAsia="en-IE"/>
              </w:rPr>
            </w:pPr>
            <w:r w:rsidRPr="00C16680">
              <w:rPr>
                <w:rFonts w:ascii="Arial" w:eastAsia="Times New Roman" w:hAnsi="Arial" w:cs="Arial"/>
                <w:b/>
                <w:sz w:val="20"/>
                <w:szCs w:val="20"/>
                <w:highlight w:val="lightGray"/>
                <w:lang w:eastAsia="en-IE"/>
              </w:rPr>
              <w:t>OR</w:t>
            </w:r>
          </w:p>
          <w:p w14:paraId="0BF35FD2" w14:textId="77777777" w:rsidR="001C2FB0" w:rsidRPr="00C16680" w:rsidRDefault="001C2FB0" w:rsidP="006B353F">
            <w:pPr>
              <w:suppressAutoHyphens/>
              <w:spacing w:after="0" w:line="240" w:lineRule="auto"/>
              <w:jc w:val="both"/>
              <w:rPr>
                <w:rFonts w:ascii="Arial" w:eastAsia="Times New Roman" w:hAnsi="Arial" w:cs="Arial"/>
                <w:sz w:val="20"/>
                <w:szCs w:val="20"/>
                <w:highlight w:val="lightGray"/>
                <w:lang w:val="en-GB" w:eastAsia="zh-CN"/>
              </w:rPr>
            </w:pPr>
          </w:p>
        </w:tc>
        <w:tc>
          <w:tcPr>
            <w:tcW w:w="1273"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2AFC0E7"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lang w:val="en-GB" w:eastAsia="zh-CN"/>
              </w:rPr>
            </w:pPr>
          </w:p>
        </w:tc>
      </w:tr>
      <w:tr w:rsidR="001C2FB0" w:rsidRPr="00C16680" w14:paraId="0A30AD02" w14:textId="77777777" w:rsidTr="006B353F">
        <w:trPr>
          <w:trHeight w:val="779"/>
        </w:trPr>
        <w:tc>
          <w:tcPr>
            <w:tcW w:w="8544" w:type="dxa"/>
            <w:tcBorders>
              <w:top w:val="single" w:sz="4" w:space="0" w:color="auto"/>
              <w:left w:val="single" w:sz="4" w:space="0" w:color="000000"/>
              <w:bottom w:val="single" w:sz="4" w:space="0" w:color="000000"/>
            </w:tcBorders>
            <w:shd w:val="clear" w:color="auto" w:fill="D9D9D9"/>
            <w:tcMar>
              <w:left w:w="103" w:type="dxa"/>
            </w:tcMar>
          </w:tcPr>
          <w:p w14:paraId="2C97924E" w14:textId="77777777" w:rsidR="001C2FB0" w:rsidRDefault="001C2FB0" w:rsidP="006B353F">
            <w:pPr>
              <w:spacing w:after="0" w:line="240" w:lineRule="auto"/>
              <w:ind w:right="-766"/>
              <w:rPr>
                <w:rFonts w:ascii="Calibri" w:eastAsia="Times New Roman" w:hAnsi="Calibri" w:cs="Calibri"/>
                <w:iCs/>
                <w:color w:val="222222"/>
                <w:highlight w:val="lightGray"/>
                <w:shd w:val="clear" w:color="auto" w:fill="FFFFFF"/>
                <w:lang w:val="en-GB" w:eastAsia="en-GB"/>
              </w:rPr>
            </w:pPr>
          </w:p>
          <w:p w14:paraId="51BDEE17" w14:textId="77777777" w:rsidR="001C2FB0" w:rsidRP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(iii) Be currently employed as a Occupational Therapy Assistant / Physiotherapy Assistant / Speech and Language Assistant, Healthcare Assistant, Care Assistant, Attendant, Multi-Task Attendant or in a comparable role for at least 1 year and give an undertaking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 / in both Physiotherapy Assistant Theory and Physiotherapy Assistant Practice / in both Speech and Language Assistant Theory and Speech and Language Assistant Practice within 1 year of taking up post.</w:t>
            </w:r>
          </w:p>
          <w:p w14:paraId="15B84F0C" w14:textId="77777777" w:rsidR="001C2FB0" w:rsidRDefault="001C2FB0" w:rsidP="001C2FB0">
            <w:pPr>
              <w:autoSpaceDE w:val="0"/>
              <w:autoSpaceDN w:val="0"/>
              <w:adjustRightInd w:val="0"/>
              <w:spacing w:after="0" w:line="240" w:lineRule="auto"/>
              <w:rPr>
                <w:rFonts w:ascii="Arial" w:eastAsia="Times New Roman" w:hAnsi="Arial" w:cs="Arial"/>
                <w:sz w:val="20"/>
                <w:szCs w:val="20"/>
                <w:highlight w:val="lightGray"/>
                <w:lang w:eastAsia="en-IE"/>
              </w:rPr>
            </w:pPr>
          </w:p>
          <w:p w14:paraId="5ABD2E1D" w14:textId="77777777" w:rsidR="001C2FB0" w:rsidRPr="001C2FB0" w:rsidRDefault="001C2FB0" w:rsidP="006B353F">
            <w:pPr>
              <w:autoSpaceDE w:val="0"/>
              <w:autoSpaceDN w:val="0"/>
              <w:adjustRightInd w:val="0"/>
              <w:spacing w:after="0" w:line="240" w:lineRule="auto"/>
              <w:jc w:val="center"/>
              <w:rPr>
                <w:rFonts w:ascii="Arial" w:eastAsia="Times New Roman" w:hAnsi="Arial" w:cs="Arial"/>
                <w:b/>
                <w:bCs/>
                <w:sz w:val="20"/>
                <w:szCs w:val="20"/>
                <w:highlight w:val="lightGray"/>
                <w:lang w:eastAsia="en-IE"/>
              </w:rPr>
            </w:pPr>
            <w:r w:rsidRPr="001C2FB0">
              <w:rPr>
                <w:rFonts w:ascii="Arial" w:eastAsia="Times New Roman" w:hAnsi="Arial" w:cs="Arial"/>
                <w:b/>
                <w:bCs/>
                <w:sz w:val="20"/>
                <w:szCs w:val="20"/>
                <w:highlight w:val="lightGray"/>
                <w:lang w:eastAsia="en-IE"/>
              </w:rPr>
              <w:t>OR</w:t>
            </w:r>
          </w:p>
          <w:p w14:paraId="269EF590" w14:textId="77777777" w:rsidR="001C2FB0" w:rsidRPr="00C16680" w:rsidRDefault="001C2FB0" w:rsidP="006B353F">
            <w:pPr>
              <w:autoSpaceDE w:val="0"/>
              <w:autoSpaceDN w:val="0"/>
              <w:adjustRightInd w:val="0"/>
              <w:spacing w:after="0" w:line="240" w:lineRule="auto"/>
              <w:jc w:val="center"/>
              <w:rPr>
                <w:rFonts w:ascii="Arial" w:eastAsia="Times New Roman" w:hAnsi="Arial" w:cs="Arial"/>
                <w:sz w:val="20"/>
                <w:szCs w:val="20"/>
                <w:highlight w:val="lightGray"/>
                <w:lang w:eastAsia="en-IE"/>
              </w:rPr>
            </w:pPr>
          </w:p>
        </w:tc>
        <w:tc>
          <w:tcPr>
            <w:tcW w:w="1273" w:type="dxa"/>
            <w:tcBorders>
              <w:top w:val="single" w:sz="4" w:space="0" w:color="auto"/>
              <w:left w:val="single" w:sz="4" w:space="0" w:color="000000"/>
              <w:bottom w:val="single" w:sz="4" w:space="0" w:color="000000"/>
              <w:right w:val="single" w:sz="4" w:space="0" w:color="auto"/>
            </w:tcBorders>
            <w:shd w:val="clear" w:color="auto" w:fill="auto"/>
            <w:tcMar>
              <w:left w:w="103" w:type="dxa"/>
            </w:tcMar>
          </w:tcPr>
          <w:p w14:paraId="3B3F65C9"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lang w:val="en-GB" w:eastAsia="zh-CN"/>
              </w:rPr>
            </w:pPr>
          </w:p>
        </w:tc>
      </w:tr>
      <w:tr w:rsidR="001C2FB0" w:rsidRPr="00C16680" w14:paraId="16B0EB72" w14:textId="77777777" w:rsidTr="001C2FB0">
        <w:trPr>
          <w:trHeight w:val="779"/>
        </w:trPr>
        <w:tc>
          <w:tcPr>
            <w:tcW w:w="8544" w:type="dxa"/>
            <w:tcBorders>
              <w:top w:val="single" w:sz="4" w:space="0" w:color="auto"/>
              <w:left w:val="single" w:sz="4" w:space="0" w:color="000000"/>
              <w:bottom w:val="single" w:sz="4" w:space="0" w:color="auto"/>
            </w:tcBorders>
            <w:shd w:val="clear" w:color="auto" w:fill="D9D9D9"/>
            <w:tcMar>
              <w:left w:w="103" w:type="dxa"/>
            </w:tcMar>
          </w:tcPr>
          <w:p w14:paraId="0869E92A" w14:textId="77777777" w:rsidR="001C2FB0" w:rsidRDefault="001C2FB0" w:rsidP="006B353F">
            <w:pPr>
              <w:spacing w:after="0" w:line="240" w:lineRule="auto"/>
              <w:ind w:right="-766"/>
              <w:rPr>
                <w:rFonts w:ascii="Calibri" w:eastAsia="Times New Roman" w:hAnsi="Calibri" w:cs="Calibri"/>
                <w:iCs/>
                <w:color w:val="222222"/>
                <w:highlight w:val="lightGray"/>
                <w:shd w:val="clear" w:color="auto" w:fill="FFFFFF"/>
                <w:lang w:val="en-GB" w:eastAsia="en-GB"/>
              </w:rPr>
            </w:pPr>
          </w:p>
          <w:p w14:paraId="1F32918E" w14:textId="099F2F8B" w:rsid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(iv) Have completed the relevant QQI Level 5 minor awards in both Occupational Therapy Assistant Theory and Occupational Therapy Assistant practice / in both Physiotherapy Assistant Theory and Physiotherapy Assistant Practice / in both Speech and Language Assistant Theory and Speech and Language Assistant Practice and give a commitment to successfully complete a QQI level 5 major award within a 1 year of taking up post</w:t>
            </w:r>
          </w:p>
          <w:p w14:paraId="3AEF8CE3" w14:textId="77777777" w:rsidR="001C2FB0" w:rsidRPr="001C2FB0" w:rsidRDefault="001C2FB0" w:rsidP="001C2FB0">
            <w:pPr>
              <w:spacing w:after="0" w:line="240" w:lineRule="auto"/>
              <w:ind w:right="-766"/>
              <w:rPr>
                <w:rFonts w:ascii="Calibri" w:eastAsia="Times New Roman" w:hAnsi="Calibri" w:cs="Calibri"/>
                <w:bCs/>
                <w:iCs/>
                <w:color w:val="222222"/>
                <w:highlight w:val="lightGray"/>
                <w:shd w:val="clear" w:color="auto" w:fill="FFFFFF"/>
                <w:lang w:val="en-GB" w:eastAsia="en-GB"/>
              </w:rPr>
            </w:pPr>
          </w:p>
          <w:p w14:paraId="7549E537" w14:textId="04DE1110" w:rsidR="001C2FB0" w:rsidRPr="001C2FB0" w:rsidRDefault="001C2FB0" w:rsidP="001C2FB0">
            <w:pPr>
              <w:autoSpaceDE w:val="0"/>
              <w:autoSpaceDN w:val="0"/>
              <w:adjustRightInd w:val="0"/>
              <w:spacing w:after="0" w:line="240" w:lineRule="auto"/>
              <w:jc w:val="center"/>
              <w:rPr>
                <w:rFonts w:ascii="Arial" w:eastAsia="Times New Roman" w:hAnsi="Arial" w:cs="Arial"/>
                <w:b/>
                <w:bCs/>
                <w:sz w:val="20"/>
                <w:szCs w:val="20"/>
                <w:highlight w:val="lightGray"/>
                <w:lang w:eastAsia="en-IE"/>
              </w:rPr>
            </w:pPr>
            <w:r w:rsidRPr="001C2FB0">
              <w:rPr>
                <w:rFonts w:ascii="Arial" w:eastAsia="Times New Roman" w:hAnsi="Arial" w:cs="Arial"/>
                <w:b/>
                <w:bCs/>
                <w:sz w:val="20"/>
                <w:szCs w:val="20"/>
                <w:highlight w:val="lightGray"/>
                <w:lang w:eastAsia="en-IE"/>
              </w:rPr>
              <w:t>OR</w:t>
            </w:r>
          </w:p>
        </w:tc>
        <w:tc>
          <w:tcPr>
            <w:tcW w:w="1273"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2EEB5F39"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lang w:val="en-GB" w:eastAsia="zh-CN"/>
              </w:rPr>
            </w:pPr>
          </w:p>
        </w:tc>
      </w:tr>
      <w:tr w:rsidR="001C2FB0" w:rsidRPr="00C16680" w14:paraId="3C7829D7" w14:textId="77777777" w:rsidTr="001C2FB0">
        <w:trPr>
          <w:trHeight w:val="493"/>
        </w:trPr>
        <w:tc>
          <w:tcPr>
            <w:tcW w:w="8544" w:type="dxa"/>
            <w:tcBorders>
              <w:top w:val="single" w:sz="4" w:space="0" w:color="auto"/>
              <w:left w:val="single" w:sz="4" w:space="0" w:color="000000"/>
              <w:bottom w:val="single" w:sz="4" w:space="0" w:color="000000"/>
            </w:tcBorders>
            <w:shd w:val="clear" w:color="auto" w:fill="D9D9D9"/>
            <w:tcMar>
              <w:left w:w="103" w:type="dxa"/>
            </w:tcMar>
          </w:tcPr>
          <w:p w14:paraId="5C93014E" w14:textId="77777777" w:rsidR="001C2FB0" w:rsidRDefault="001C2FB0" w:rsidP="006B353F">
            <w:pPr>
              <w:spacing w:after="0" w:line="240" w:lineRule="auto"/>
              <w:ind w:right="-766"/>
              <w:rPr>
                <w:rFonts w:ascii="Calibri" w:eastAsia="Times New Roman" w:hAnsi="Calibri" w:cs="Calibri"/>
                <w:bCs/>
                <w:iCs/>
                <w:color w:val="222222"/>
                <w:highlight w:val="lightGray"/>
                <w:shd w:val="clear" w:color="auto" w:fill="FFFFFF"/>
                <w:lang w:val="en-GB" w:eastAsia="en-GB"/>
              </w:rPr>
            </w:pPr>
          </w:p>
          <w:p w14:paraId="508256D5" w14:textId="4F8FD95F" w:rsidR="001C2FB0" w:rsidRDefault="001C2FB0" w:rsidP="006B353F">
            <w:pPr>
              <w:spacing w:after="0" w:line="240" w:lineRule="auto"/>
              <w:ind w:right="-766"/>
              <w:rPr>
                <w:rFonts w:ascii="Calibri" w:eastAsia="Times New Roman" w:hAnsi="Calibri" w:cs="Calibri"/>
                <w:iCs/>
                <w:color w:val="222222"/>
                <w:highlight w:val="lightGray"/>
                <w:shd w:val="clear" w:color="auto" w:fill="FFFFFF"/>
                <w:lang w:val="en-GB" w:eastAsia="en-GB"/>
              </w:rPr>
            </w:pPr>
            <w:r w:rsidRPr="001C2FB0">
              <w:rPr>
                <w:rFonts w:ascii="Calibri" w:eastAsia="Times New Roman" w:hAnsi="Calibri" w:cs="Calibri"/>
                <w:bCs/>
                <w:iCs/>
                <w:color w:val="222222"/>
                <w:highlight w:val="lightGray"/>
                <w:shd w:val="clear" w:color="auto" w:fill="FFFFFF"/>
                <w:lang w:val="en-GB" w:eastAsia="en-GB"/>
              </w:rPr>
              <w:t>(v) An equivalent qualification from another jurisdiction</w:t>
            </w:r>
          </w:p>
        </w:tc>
        <w:tc>
          <w:tcPr>
            <w:tcW w:w="1273" w:type="dxa"/>
            <w:tcBorders>
              <w:top w:val="single" w:sz="4" w:space="0" w:color="auto"/>
              <w:left w:val="single" w:sz="4" w:space="0" w:color="000000"/>
              <w:bottom w:val="single" w:sz="4" w:space="0" w:color="000000"/>
              <w:right w:val="single" w:sz="4" w:space="0" w:color="auto"/>
            </w:tcBorders>
            <w:shd w:val="clear" w:color="auto" w:fill="auto"/>
            <w:tcMar>
              <w:left w:w="103" w:type="dxa"/>
            </w:tcMar>
          </w:tcPr>
          <w:p w14:paraId="334A1799" w14:textId="77777777" w:rsidR="001C2FB0" w:rsidRPr="00C16680" w:rsidRDefault="001C2FB0" w:rsidP="006B353F">
            <w:pPr>
              <w:suppressAutoHyphens/>
              <w:snapToGrid w:val="0"/>
              <w:spacing w:after="0" w:line="240" w:lineRule="auto"/>
              <w:rPr>
                <w:rFonts w:ascii="Arial" w:eastAsia="Times New Roman" w:hAnsi="Arial" w:cs="Arial"/>
                <w:bCs/>
                <w:color w:val="C00000"/>
                <w:sz w:val="20"/>
                <w:szCs w:val="20"/>
                <w:lang w:val="en-GB" w:eastAsia="zh-CN"/>
              </w:rPr>
            </w:pPr>
          </w:p>
        </w:tc>
      </w:tr>
    </w:tbl>
    <w:p w14:paraId="48A21919" w14:textId="77777777" w:rsidR="00B019B1" w:rsidRDefault="00B019B1" w:rsidP="00B019B1">
      <w:pPr>
        <w:ind w:left="-142" w:right="-166"/>
        <w:jc w:val="both"/>
        <w:rPr>
          <w:color w:val="000000"/>
        </w:rPr>
      </w:pPr>
    </w:p>
    <w:p w14:paraId="2C39B16E" w14:textId="77777777" w:rsidR="001C2FB0" w:rsidRPr="001C2FB0" w:rsidRDefault="001C2FB0" w:rsidP="001C2FB0">
      <w:pPr>
        <w:spacing w:after="0" w:line="240" w:lineRule="auto"/>
        <w:rPr>
          <w:rFonts w:eastAsia="Times New Roman" w:cstheme="minorHAnsi"/>
          <w:bCs/>
          <w:i/>
          <w:lang w:val="en-GB" w:eastAsia="en-GB"/>
        </w:rPr>
      </w:pPr>
      <w:r w:rsidRPr="001C2FB0">
        <w:rPr>
          <w:rFonts w:eastAsia="Times New Roman" w:cstheme="minorHAnsi"/>
          <w:bCs/>
          <w:i/>
          <w:lang w:val="en-GB" w:eastAsia="en-GB"/>
        </w:rPr>
        <w:t>Note:</w:t>
      </w:r>
    </w:p>
    <w:p w14:paraId="3C5897F0" w14:textId="77777777" w:rsidR="001C2FB0" w:rsidRPr="001C2FB0" w:rsidRDefault="001C2FB0" w:rsidP="001C2FB0">
      <w:pPr>
        <w:spacing w:after="0" w:line="240" w:lineRule="auto"/>
        <w:rPr>
          <w:rFonts w:eastAsia="Times New Roman" w:cstheme="minorHAnsi"/>
          <w:bCs/>
          <w:i/>
          <w:lang w:val="en-GB" w:eastAsia="en-GB"/>
        </w:rPr>
      </w:pPr>
      <w:r w:rsidRPr="001C2FB0">
        <w:rPr>
          <w:rFonts w:eastAsia="Times New Roman" w:cstheme="minorHAnsi"/>
          <w:bCs/>
          <w:i/>
          <w:lang w:val="en-GB" w:eastAsia="en-GB"/>
        </w:rPr>
        <w:t xml:space="preserve">With regard to Criterion (i), the listing below is considered relevant health skills QQI (formerly FETAC) </w:t>
      </w:r>
    </w:p>
    <w:p w14:paraId="2DC996E6" w14:textId="77777777" w:rsidR="001C2FB0" w:rsidRPr="001C2FB0" w:rsidRDefault="001C2FB0" w:rsidP="001C2FB0">
      <w:pPr>
        <w:spacing w:after="0" w:line="240" w:lineRule="auto"/>
        <w:rPr>
          <w:rFonts w:eastAsia="Times New Roman" w:cstheme="minorHAnsi"/>
          <w:bCs/>
          <w:i/>
          <w:lang w:val="en-GB" w:eastAsia="en-GB"/>
        </w:rPr>
      </w:pPr>
      <w:r w:rsidRPr="001C2FB0">
        <w:rPr>
          <w:rFonts w:eastAsia="Times New Roman" w:cstheme="minorHAnsi"/>
          <w:bCs/>
          <w:i/>
          <w:lang w:val="en-GB" w:eastAsia="en-GB"/>
        </w:rPr>
        <w:t xml:space="preserve">Level 5* qualifications </w:t>
      </w:r>
    </w:p>
    <w:p w14:paraId="29AEBEB0" w14:textId="77777777" w:rsidR="001C2FB0" w:rsidRPr="001C2FB0" w:rsidRDefault="001C2FB0" w:rsidP="001C2FB0">
      <w:pPr>
        <w:numPr>
          <w:ilvl w:val="0"/>
          <w:numId w:val="28"/>
        </w:numPr>
        <w:spacing w:after="0" w:line="240" w:lineRule="auto"/>
        <w:rPr>
          <w:rFonts w:eastAsia="Times New Roman" w:cstheme="minorHAnsi"/>
          <w:bCs/>
          <w:i/>
          <w:lang w:val="en-GB" w:eastAsia="en-GB"/>
        </w:rPr>
      </w:pPr>
      <w:r w:rsidRPr="001C2FB0">
        <w:rPr>
          <w:rFonts w:eastAsia="Times New Roman" w:cstheme="minorHAnsi"/>
          <w:bCs/>
          <w:i/>
          <w:lang w:val="en-GB" w:eastAsia="en-GB"/>
        </w:rPr>
        <w:t>QQI Level 5 Healthcare Support</w:t>
      </w:r>
    </w:p>
    <w:p w14:paraId="2FD62434" w14:textId="77777777" w:rsidR="001C2FB0" w:rsidRPr="001C2FB0" w:rsidRDefault="001C2FB0" w:rsidP="001C2FB0">
      <w:pPr>
        <w:numPr>
          <w:ilvl w:val="0"/>
          <w:numId w:val="28"/>
        </w:numPr>
        <w:spacing w:after="0" w:line="240" w:lineRule="auto"/>
        <w:rPr>
          <w:rFonts w:eastAsia="Times New Roman" w:cstheme="minorHAnsi"/>
          <w:bCs/>
          <w:i/>
          <w:lang w:val="en-GB" w:eastAsia="en-GB"/>
        </w:rPr>
      </w:pPr>
      <w:r w:rsidRPr="001C2FB0">
        <w:rPr>
          <w:rFonts w:eastAsia="Times New Roman" w:cstheme="minorHAnsi"/>
          <w:bCs/>
          <w:i/>
          <w:lang w:val="en-GB" w:eastAsia="en-GB"/>
        </w:rPr>
        <w:t>QQI Level 5 Nursing Studies</w:t>
      </w:r>
    </w:p>
    <w:p w14:paraId="4537B68F" w14:textId="77777777" w:rsidR="001C2FB0" w:rsidRPr="001C2FB0" w:rsidRDefault="001C2FB0" w:rsidP="001C2FB0">
      <w:pPr>
        <w:numPr>
          <w:ilvl w:val="0"/>
          <w:numId w:val="28"/>
        </w:numPr>
        <w:spacing w:after="0" w:line="240" w:lineRule="auto"/>
        <w:rPr>
          <w:rFonts w:eastAsia="Times New Roman" w:cstheme="minorHAnsi"/>
          <w:bCs/>
          <w:i/>
          <w:lang w:val="en-GB" w:eastAsia="en-GB"/>
        </w:rPr>
      </w:pPr>
      <w:r w:rsidRPr="001C2FB0">
        <w:rPr>
          <w:rFonts w:eastAsia="Times New Roman" w:cstheme="minorHAnsi"/>
          <w:bCs/>
          <w:i/>
          <w:lang w:val="en-GB" w:eastAsia="en-GB"/>
        </w:rPr>
        <w:t>QQI Level 5 Community Care</w:t>
      </w:r>
    </w:p>
    <w:p w14:paraId="0563535C" w14:textId="77777777" w:rsidR="001C2FB0" w:rsidRPr="001C2FB0" w:rsidRDefault="001C2FB0" w:rsidP="001C2FB0">
      <w:pPr>
        <w:numPr>
          <w:ilvl w:val="0"/>
          <w:numId w:val="28"/>
        </w:numPr>
        <w:spacing w:after="0" w:line="240" w:lineRule="auto"/>
        <w:rPr>
          <w:rFonts w:eastAsia="Times New Roman" w:cstheme="minorHAnsi"/>
          <w:bCs/>
          <w:i/>
          <w:lang w:val="en-GB" w:eastAsia="en-GB"/>
        </w:rPr>
      </w:pPr>
      <w:r w:rsidRPr="001C2FB0">
        <w:rPr>
          <w:rFonts w:eastAsia="Times New Roman" w:cstheme="minorHAnsi"/>
          <w:bCs/>
          <w:i/>
          <w:lang w:val="en-GB" w:eastAsia="en-GB"/>
        </w:rPr>
        <w:t>QQI Level 5 Health Service Skills</w:t>
      </w:r>
    </w:p>
    <w:p w14:paraId="4E81A7DE" w14:textId="77777777" w:rsidR="001C2FB0" w:rsidRPr="001C2FB0" w:rsidRDefault="001C2FB0" w:rsidP="001C2FB0">
      <w:pPr>
        <w:numPr>
          <w:ilvl w:val="0"/>
          <w:numId w:val="28"/>
        </w:numPr>
        <w:spacing w:after="0" w:line="240" w:lineRule="auto"/>
        <w:rPr>
          <w:rFonts w:eastAsia="Times New Roman" w:cstheme="minorHAnsi"/>
          <w:bCs/>
          <w:i/>
          <w:lang w:val="en-GB" w:eastAsia="en-GB"/>
        </w:rPr>
      </w:pPr>
      <w:r w:rsidRPr="001C2FB0">
        <w:rPr>
          <w:rFonts w:eastAsia="Times New Roman" w:cstheme="minorHAnsi"/>
          <w:bCs/>
          <w:i/>
          <w:lang w:val="en-GB" w:eastAsia="en-GB"/>
        </w:rPr>
        <w:t>QQI Level 5 Community Health Services</w:t>
      </w:r>
    </w:p>
    <w:p w14:paraId="120C4E94" w14:textId="2439D67E" w:rsidR="009056AC" w:rsidRPr="001C2FB0" w:rsidRDefault="001C2FB0" w:rsidP="009056AC">
      <w:pPr>
        <w:spacing w:after="0" w:line="240" w:lineRule="auto"/>
        <w:rPr>
          <w:rFonts w:eastAsia="Times New Roman" w:cstheme="minorHAnsi"/>
          <w:bCs/>
          <w:i/>
          <w:lang w:val="en-GB" w:eastAsia="en-GB"/>
        </w:rPr>
      </w:pPr>
      <w:r w:rsidRPr="001C2FB0">
        <w:rPr>
          <w:rFonts w:eastAsia="Times New Roman" w:cstheme="minorHAnsi"/>
          <w:bCs/>
          <w:i/>
          <w:lang w:val="en-GB" w:eastAsia="en-GB"/>
        </w:rPr>
        <w:t>*(A full QQI/FETAC 5 Major award requires a minimum of 120 credits/8 Modules - Please note a Component Certificate will not suffice.)With regard to Criterion (ii), a relevant Healthcare qualification at not less than QQI Level 5 on the National Framework of Qualifications (NFQ) is considered to be a qualification with applied patient care modules / placements typically but not limited to qualifications in: Social Care Work, Nursing, Therapy Professions etc.</w:t>
      </w:r>
    </w:p>
    <w:p w14:paraId="75FBE423" w14:textId="7AB913E3" w:rsidR="009056AC" w:rsidRDefault="009056AC" w:rsidP="009056AC">
      <w:pPr>
        <w:spacing w:after="0" w:line="240" w:lineRule="auto"/>
        <w:rPr>
          <w:rFonts w:ascii="Arial" w:eastAsia="Times New Roman" w:hAnsi="Arial" w:cs="Times New Roman"/>
          <w:b/>
          <w:sz w:val="20"/>
          <w:szCs w:val="20"/>
          <w:lang w:val="en-US"/>
        </w:rPr>
      </w:pPr>
    </w:p>
    <w:p w14:paraId="293CE8F9" w14:textId="20C26111" w:rsidR="00916182" w:rsidRDefault="00916182" w:rsidP="009056AC">
      <w:pPr>
        <w:spacing w:after="0" w:line="240" w:lineRule="auto"/>
        <w:rPr>
          <w:rFonts w:ascii="Arial" w:eastAsia="Times New Roman" w:hAnsi="Arial" w:cs="Times New Roman"/>
          <w:b/>
          <w:sz w:val="20"/>
          <w:szCs w:val="20"/>
          <w:lang w:val="en-US"/>
        </w:rPr>
      </w:pPr>
    </w:p>
    <w:p w14:paraId="5C127D06" w14:textId="4C5343B1" w:rsidR="00916182" w:rsidRDefault="00916182" w:rsidP="009056AC">
      <w:pPr>
        <w:spacing w:after="0" w:line="240" w:lineRule="auto"/>
        <w:rPr>
          <w:rFonts w:ascii="Arial" w:eastAsia="Times New Roman" w:hAnsi="Arial" w:cs="Times New Roman"/>
          <w:b/>
          <w:sz w:val="20"/>
          <w:szCs w:val="20"/>
          <w:lang w:val="en-US"/>
        </w:rPr>
      </w:pPr>
    </w:p>
    <w:p w14:paraId="3158C873" w14:textId="77777777" w:rsidR="00916182" w:rsidRDefault="00916182"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1C2FB0" w:rsidRDefault="009056AC" w:rsidP="001C2FB0">
      <w:pPr>
        <w:spacing w:after="0" w:line="240" w:lineRule="auto"/>
        <w:rPr>
          <w:rFonts w:ascii="Arial" w:eastAsia="Times New Roman" w:hAnsi="Arial" w:cs="Times New Roman"/>
          <w:b/>
          <w:sz w:val="20"/>
          <w:szCs w:val="20"/>
          <w:lang w:val="en-US"/>
        </w:rPr>
      </w:pPr>
      <w:r w:rsidRPr="001C2FB0">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3582BDE9" w:rsidR="00B019B1" w:rsidRDefault="00B019B1">
      <w:pPr>
        <w:rPr>
          <w:rFonts w:ascii="Calibri" w:eastAsia="Times New Roman" w:hAnsi="Calibri" w:cs="Calibri"/>
          <w:b/>
          <w:color w:val="FF0000"/>
          <w:lang w:eastAsia="en-IE"/>
        </w:rPr>
      </w:pPr>
    </w:p>
    <w:p w14:paraId="73BC6E01" w14:textId="1ED51ED1" w:rsidR="001C2FB0" w:rsidRDefault="001C2FB0">
      <w:pPr>
        <w:rPr>
          <w:rFonts w:ascii="Calibri" w:eastAsia="Times New Roman" w:hAnsi="Calibri" w:cs="Calibri"/>
          <w:b/>
          <w:color w:val="FF0000"/>
          <w:lang w:eastAsia="en-IE"/>
        </w:rPr>
      </w:pPr>
    </w:p>
    <w:p w14:paraId="710BF48A" w14:textId="72B1504F" w:rsidR="001C2FB0" w:rsidRDefault="001C2FB0">
      <w:pPr>
        <w:rPr>
          <w:rFonts w:ascii="Calibri" w:eastAsia="Times New Roman" w:hAnsi="Calibri" w:cs="Calibri"/>
          <w:b/>
          <w:color w:val="FF0000"/>
          <w:lang w:eastAsia="en-IE"/>
        </w:rPr>
      </w:pPr>
    </w:p>
    <w:p w14:paraId="1762E269" w14:textId="4794856D" w:rsidR="001C2FB0" w:rsidRDefault="001C2FB0">
      <w:pPr>
        <w:rPr>
          <w:rFonts w:ascii="Calibri" w:eastAsia="Times New Roman" w:hAnsi="Calibri" w:cs="Calibri"/>
          <w:b/>
          <w:color w:val="FF0000"/>
          <w:lang w:eastAsia="en-IE"/>
        </w:rPr>
      </w:pPr>
    </w:p>
    <w:p w14:paraId="27CF71AD" w14:textId="5C48D3D6" w:rsidR="001C2FB0" w:rsidRDefault="001C2FB0">
      <w:pPr>
        <w:rPr>
          <w:rFonts w:ascii="Calibri" w:eastAsia="Times New Roman" w:hAnsi="Calibri" w:cs="Calibri"/>
          <w:b/>
          <w:color w:val="FF0000"/>
          <w:lang w:eastAsia="en-IE"/>
        </w:rPr>
      </w:pPr>
    </w:p>
    <w:p w14:paraId="49A37E85" w14:textId="77777777" w:rsidR="001C2FB0" w:rsidRDefault="001C2FB0">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6D1778E1" w14:textId="77777777" w:rsidR="00916182" w:rsidRDefault="00916182" w:rsidP="00C132E5">
      <w:pPr>
        <w:spacing w:after="100" w:afterAutospacing="1" w:line="240" w:lineRule="auto"/>
        <w:outlineLvl w:val="2"/>
        <w:rPr>
          <w:rFonts w:ascii="Calibri" w:eastAsia="Times New Roman" w:hAnsi="Calibri" w:cs="Calibri"/>
          <w:b/>
          <w:lang w:eastAsia="en-IE"/>
        </w:rPr>
      </w:pPr>
    </w:p>
    <w:p w14:paraId="3196EC1C" w14:textId="360EB3E0"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lastRenderedPageBreak/>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6E4C12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1C2FB0">
              <w:rPr>
                <w:rFonts w:ascii="Calibri" w:hAnsi="Calibri" w:cs="Arial"/>
              </w:rPr>
              <w:t>Therapy Assistant</w:t>
            </w:r>
            <w:r w:rsidRPr="61175B8C">
              <w:rPr>
                <w:rFonts w:ascii="Calibri" w:hAnsi="Calibri" w:cs="Arial"/>
              </w:rPr>
              <w:t xml:space="preserve"> to be able to plan and organise resources efficiently and effectively within a specified timeframe.  </w:t>
            </w:r>
            <w:r w:rsidR="3FF7A444" w:rsidRPr="61175B8C">
              <w:rPr>
                <w:rFonts w:ascii="Calibri" w:hAnsi="Calibri" w:cs="Arial"/>
              </w:rPr>
              <w:t>The</w:t>
            </w:r>
            <w:r w:rsidR="3FF7A444" w:rsidRPr="001C2FB0">
              <w:rPr>
                <w:rFonts w:ascii="Calibri" w:hAnsi="Calibri" w:cs="Arial"/>
              </w:rPr>
              <w:t xml:space="preserve"> </w:t>
            </w:r>
            <w:r w:rsidR="001C2FB0">
              <w:rPr>
                <w:rFonts w:ascii="Calibri" w:hAnsi="Calibri" w:cs="Arial"/>
              </w:rPr>
              <w:t>Therapy Assistant</w:t>
            </w:r>
            <w:r w:rsidR="3FF7A444"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43A1ABEF" w:rsidR="00B019B1" w:rsidRPr="00B019B1" w:rsidRDefault="00B019B1" w:rsidP="61175B8C">
            <w:pPr>
              <w:rPr>
                <w:rFonts w:ascii="Calibri" w:hAnsi="Calibri" w:cs="Arial"/>
                <w:color w:val="000000"/>
              </w:rPr>
            </w:pPr>
            <w:r w:rsidRPr="61175B8C">
              <w:rPr>
                <w:rFonts w:ascii="Calibri" w:hAnsi="Calibri" w:cs="Arial"/>
              </w:rPr>
              <w:t xml:space="preserve">The effective </w:t>
            </w:r>
            <w:r w:rsidR="001C2FB0">
              <w:rPr>
                <w:rFonts w:ascii="Calibri" w:hAnsi="Calibri" w:cs="Arial"/>
              </w:rPr>
              <w:t>Therapy Assistant</w:t>
            </w:r>
            <w:r w:rsidRPr="61175B8C">
              <w:rPr>
                <w:rFonts w:ascii="Calibri" w:hAnsi="Calibri" w:cs="Arial"/>
              </w:rPr>
              <w:t xml:space="preserve"> will demonstrate good interpersonal skills and the ability to build and maintain relationships.  </w:t>
            </w:r>
            <w:r w:rsidR="42975E1A" w:rsidRPr="61175B8C">
              <w:rPr>
                <w:rFonts w:ascii="Calibri" w:hAnsi="Calibri" w:cs="Arial"/>
              </w:rPr>
              <w:t xml:space="preserve">The </w:t>
            </w:r>
            <w:r w:rsidR="001C2FB0">
              <w:rPr>
                <w:rFonts w:ascii="Calibri" w:hAnsi="Calibri" w:cs="Arial"/>
              </w:rPr>
              <w:t>Therapy Assistant</w:t>
            </w:r>
            <w:r w:rsidRPr="61175B8C">
              <w:rPr>
                <w:rFonts w:ascii="Calibri" w:hAnsi="Calibri" w:cs="Arial"/>
              </w:rPr>
              <w:t xml:space="preserve"> 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2C4DB92E" w:rsidR="00B019B1" w:rsidRDefault="00B019B1" w:rsidP="00B019B1">
            <w:pPr>
              <w:tabs>
                <w:tab w:val="left" w:pos="360"/>
              </w:tabs>
              <w:ind w:right="173"/>
              <w:rPr>
                <w:rFonts w:cstheme="minorHAnsi"/>
              </w:rPr>
            </w:pPr>
          </w:p>
          <w:p w14:paraId="3CC5ECE2" w14:textId="101D6568" w:rsidR="001C2FB0" w:rsidRDefault="001C2FB0" w:rsidP="00B019B1">
            <w:pPr>
              <w:tabs>
                <w:tab w:val="left" w:pos="360"/>
              </w:tabs>
              <w:ind w:right="173"/>
              <w:rPr>
                <w:rFonts w:cstheme="minorHAnsi"/>
              </w:rPr>
            </w:pPr>
          </w:p>
          <w:p w14:paraId="52C80F50" w14:textId="6000434E" w:rsidR="001C2FB0" w:rsidRDefault="001C2FB0" w:rsidP="00B019B1">
            <w:pPr>
              <w:tabs>
                <w:tab w:val="left" w:pos="360"/>
              </w:tabs>
              <w:ind w:right="173"/>
              <w:rPr>
                <w:rFonts w:cstheme="minorHAnsi"/>
              </w:rPr>
            </w:pPr>
          </w:p>
          <w:p w14:paraId="0522FFF9" w14:textId="2AC2B7DE" w:rsidR="001C2FB0" w:rsidRDefault="001C2FB0" w:rsidP="00B019B1">
            <w:pPr>
              <w:tabs>
                <w:tab w:val="left" w:pos="360"/>
              </w:tabs>
              <w:ind w:right="173"/>
              <w:rPr>
                <w:rFonts w:cstheme="minorHAnsi"/>
              </w:rPr>
            </w:pPr>
          </w:p>
          <w:p w14:paraId="0B149346" w14:textId="2F628CD1" w:rsidR="001C2FB0" w:rsidRDefault="001C2FB0" w:rsidP="00B019B1">
            <w:pPr>
              <w:tabs>
                <w:tab w:val="left" w:pos="360"/>
              </w:tabs>
              <w:ind w:right="173"/>
              <w:rPr>
                <w:rFonts w:cstheme="minorHAnsi"/>
              </w:rPr>
            </w:pPr>
          </w:p>
          <w:p w14:paraId="72C10417" w14:textId="71C6E236" w:rsidR="001C2FB0" w:rsidRDefault="001C2FB0" w:rsidP="00B019B1">
            <w:pPr>
              <w:tabs>
                <w:tab w:val="left" w:pos="360"/>
              </w:tabs>
              <w:ind w:right="173"/>
              <w:rPr>
                <w:rFonts w:cstheme="minorHAnsi"/>
              </w:rPr>
            </w:pPr>
          </w:p>
          <w:p w14:paraId="75E11532" w14:textId="77777777" w:rsidR="001C2FB0" w:rsidRPr="002856BB" w:rsidRDefault="001C2FB0"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6065759C"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1C2FB0">
              <w:rPr>
                <w:rFonts w:ascii="Calibri" w:hAnsi="Calibri" w:cs="Arial"/>
              </w:rPr>
              <w:t>Therapy Assistant</w:t>
            </w:r>
            <w:r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916182">
              <w:rPr>
                <w:rFonts w:ascii="Calibri" w:hAnsi="Calibri" w:cs="Arial"/>
              </w:rPr>
              <w:t>Therapy Assistant</w:t>
            </w:r>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332F7">
        <w:rPr>
          <w:rFonts w:ascii="Calibri" w:eastAsia="Times New Roman" w:hAnsi="Calibri" w:cs="Calibri"/>
          <w:b/>
          <w:lang w:eastAsia="en-IE"/>
        </w:rPr>
      </w:r>
      <w:r w:rsidR="00A332F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332F7">
        <w:rPr>
          <w:rFonts w:ascii="Calibri" w:eastAsia="Times New Roman" w:hAnsi="Calibri" w:cs="Calibri"/>
          <w:b/>
          <w:lang w:eastAsia="en-IE"/>
        </w:rPr>
      </w:r>
      <w:r w:rsidR="00A332F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A332F7"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A332F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A332F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A332F7">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332F7">
              <w:rPr>
                <w:rFonts w:ascii="Calibri" w:eastAsia="Times New Roman" w:hAnsi="Calibri" w:cs="Calibri"/>
                <w:lang w:eastAsia="en-IE"/>
              </w:rPr>
            </w:r>
            <w:r w:rsidR="00A332F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2C8512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916182">
        <w:rPr>
          <w:rFonts w:asciiTheme="minorHAnsi" w:hAnsiTheme="minorHAnsi" w:cstheme="minorHAnsi"/>
          <w:b/>
          <w:szCs w:val="22"/>
        </w:rPr>
        <w:t>Therapy Assistant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452A42DA"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916182">
        <w:rPr>
          <w:rFonts w:cstheme="minorHAnsi"/>
          <w:b/>
        </w:rPr>
        <w:t>Therapy Assistant</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17AE205E"/>
    <w:multiLevelType w:val="hybridMultilevel"/>
    <w:tmpl w:val="53BCC686"/>
    <w:lvl w:ilvl="0" w:tplc="A4E20E5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22"/>
  </w:num>
  <w:num w:numId="4">
    <w:abstractNumId w:val="3"/>
  </w:num>
  <w:num w:numId="5">
    <w:abstractNumId w:val="0"/>
  </w:num>
  <w:num w:numId="6">
    <w:abstractNumId w:val="21"/>
  </w:num>
  <w:num w:numId="7">
    <w:abstractNumId w:val="20"/>
  </w:num>
  <w:num w:numId="8">
    <w:abstractNumId w:val="14"/>
  </w:num>
  <w:num w:numId="9">
    <w:abstractNumId w:val="4"/>
  </w:num>
  <w:num w:numId="10">
    <w:abstractNumId w:val="8"/>
  </w:num>
  <w:num w:numId="11">
    <w:abstractNumId w:val="27"/>
  </w:num>
  <w:num w:numId="12">
    <w:abstractNumId w:val="12"/>
  </w:num>
  <w:num w:numId="13">
    <w:abstractNumId w:val="9"/>
  </w:num>
  <w:num w:numId="14">
    <w:abstractNumId w:val="7"/>
  </w:num>
  <w:num w:numId="15">
    <w:abstractNumId w:val="16"/>
  </w:num>
  <w:num w:numId="16">
    <w:abstractNumId w:val="25"/>
  </w:num>
  <w:num w:numId="17">
    <w:abstractNumId w:val="2"/>
  </w:num>
  <w:num w:numId="18">
    <w:abstractNumId w:val="10"/>
  </w:num>
  <w:num w:numId="19">
    <w:abstractNumId w:val="1"/>
  </w:num>
  <w:num w:numId="20">
    <w:abstractNumId w:val="15"/>
  </w:num>
  <w:num w:numId="21">
    <w:abstractNumId w:val="26"/>
  </w:num>
  <w:num w:numId="22">
    <w:abstractNumId w:val="17"/>
  </w:num>
  <w:num w:numId="23">
    <w:abstractNumId w:val="24"/>
  </w:num>
  <w:num w:numId="24">
    <w:abstractNumId w:val="18"/>
  </w:num>
  <w:num w:numId="25">
    <w:abstractNumId w:val="23"/>
  </w:num>
  <w:num w:numId="26">
    <w:abstractNumId w:val="5"/>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C2FB0"/>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16182"/>
    <w:rsid w:val="009B1F34"/>
    <w:rsid w:val="009D06AA"/>
    <w:rsid w:val="00A06C76"/>
    <w:rsid w:val="00A332F7"/>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9</cp:revision>
  <cp:lastPrinted>2021-04-23T15:59:00Z</cp:lastPrinted>
  <dcterms:created xsi:type="dcterms:W3CDTF">2023-10-04T11:40:00Z</dcterms:created>
  <dcterms:modified xsi:type="dcterms:W3CDTF">2025-07-01T11:21:00Z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