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2EE5" w14:textId="77777777" w:rsidR="00E12BD9" w:rsidRPr="00E12BD9" w:rsidRDefault="00E12BD9" w:rsidP="00E12BD9">
      <w:pPr>
        <w:keepNext/>
        <w:spacing w:after="0" w:line="240" w:lineRule="auto"/>
        <w:jc w:val="center"/>
        <w:outlineLvl w:val="0"/>
        <w:rPr>
          <w:rFonts w:ascii="Arial" w:eastAsia="Times New Roman" w:hAnsi="Arial" w:cs="Times New Roman"/>
          <w:b/>
          <w:sz w:val="32"/>
          <w:szCs w:val="32"/>
          <w:lang w:val="en-GB"/>
        </w:rPr>
      </w:pPr>
      <w:r w:rsidRPr="00E12BD9">
        <w:rPr>
          <w:rFonts w:ascii="Arial" w:eastAsia="Times New Roman" w:hAnsi="Arial" w:cs="Times New Roman"/>
          <w:b/>
          <w:sz w:val="32"/>
          <w:szCs w:val="32"/>
          <w:lang w:val="en-GB"/>
        </w:rPr>
        <w:t>Job Description – Non Consultant Hospital Doctor (NCHD)</w:t>
      </w:r>
    </w:p>
    <w:p w14:paraId="3BA70419"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1155050F" w14:textId="77777777" w:rsidR="00E12BD9" w:rsidRDefault="00E12BD9" w:rsidP="00E12BD9">
      <w:pPr>
        <w:keepNext/>
        <w:spacing w:after="0" w:line="240" w:lineRule="auto"/>
        <w:jc w:val="center"/>
        <w:outlineLvl w:val="0"/>
        <w:rPr>
          <w:rFonts w:ascii="Arial" w:eastAsia="Times New Roman" w:hAnsi="Arial" w:cs="Times New Roman"/>
          <w:b/>
          <w:sz w:val="24"/>
          <w:szCs w:val="24"/>
          <w:lang w:val="en-GB"/>
        </w:rPr>
      </w:pPr>
      <w:r>
        <w:rPr>
          <w:rFonts w:ascii="Arial" w:eastAsia="Times New Roman" w:hAnsi="Arial" w:cs="Times New Roman"/>
          <w:b/>
          <w:noProof/>
          <w:sz w:val="24"/>
          <w:szCs w:val="24"/>
          <w:lang w:eastAsia="en-IE"/>
        </w:rPr>
        <w:drawing>
          <wp:inline distT="0" distB="0" distL="0" distR="0" wp14:anchorId="6BF59A58" wp14:editId="482F0F4A">
            <wp:extent cx="4291965" cy="1061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1965" cy="1061085"/>
                    </a:xfrm>
                    <a:prstGeom prst="rect">
                      <a:avLst/>
                    </a:prstGeom>
                    <a:noFill/>
                  </pic:spPr>
                </pic:pic>
              </a:graphicData>
            </a:graphic>
          </wp:inline>
        </w:drawing>
      </w:r>
    </w:p>
    <w:p w14:paraId="05AFB8FD"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41587FA7" w14:textId="77777777" w:rsidR="00E12BD9" w:rsidRPr="00E12BD9" w:rsidRDefault="00E5647E" w:rsidP="00E12BD9">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T</w:t>
      </w:r>
      <w:r w:rsidR="00E12BD9" w:rsidRPr="00E12BD9">
        <w:rPr>
          <w:rFonts w:ascii="Arial" w:eastAsia="Times New Roman" w:hAnsi="Arial" w:cs="Arial"/>
          <w:sz w:val="20"/>
          <w:szCs w:val="20"/>
          <w:lang w:val="en-GB" w:eastAsia="en-GB"/>
        </w:rPr>
        <w:t xml:space="preserve">he </w:t>
      </w:r>
      <w:proofErr w:type="spellStart"/>
      <w:r w:rsidR="00E12BD9" w:rsidRPr="00E12BD9">
        <w:rPr>
          <w:rFonts w:ascii="Arial" w:eastAsia="Times New Roman" w:hAnsi="Arial" w:cs="Arial"/>
          <w:sz w:val="20"/>
          <w:szCs w:val="20"/>
          <w:lang w:val="en-GB" w:eastAsia="en-GB"/>
        </w:rPr>
        <w:t>Saolta</w:t>
      </w:r>
      <w:proofErr w:type="spellEnd"/>
      <w:r w:rsidR="00E12BD9" w:rsidRPr="00E12BD9">
        <w:rPr>
          <w:rFonts w:ascii="Arial" w:eastAsia="Times New Roman" w:hAnsi="Arial" w:cs="Arial"/>
          <w:sz w:val="20"/>
          <w:szCs w:val="20"/>
          <w:lang w:val="en-GB" w:eastAsia="en-GB"/>
        </w:rPr>
        <w:t xml:space="preserve"> University Health Care Group provides acute and specialist hospital services to the West and North West of Ireland – counties Galway, Mayo, Roscommon, Sligo, Leitrim, Donegal and adjoining counties.</w:t>
      </w:r>
    </w:p>
    <w:p w14:paraId="7B25F6E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A7E799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 Care Group comprises of 7 hospitals across 8 sites:</w:t>
      </w:r>
    </w:p>
    <w:p w14:paraId="610CCA7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2BFFAE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r>
      <w:r w:rsidRPr="00E12BD9">
        <w:rPr>
          <w:rFonts w:ascii="Arial" w:eastAsia="Times New Roman" w:hAnsi="Arial" w:cs="Arial"/>
          <w:b/>
          <w:sz w:val="20"/>
          <w:szCs w:val="20"/>
          <w:lang w:val="en-GB" w:eastAsia="en-GB"/>
        </w:rPr>
        <w:t>Letterkenny University Hospital (LUH)</w:t>
      </w:r>
    </w:p>
    <w:p w14:paraId="5A08D77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Mayo University Hospital (MUH)</w:t>
      </w:r>
    </w:p>
    <w:p w14:paraId="203FCE5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Merlin Park University Hospital (MPUH)</w:t>
      </w:r>
    </w:p>
    <w:p w14:paraId="4ADCE4E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Portiuncula University Hospital (PUH)</w:t>
      </w:r>
    </w:p>
    <w:p w14:paraId="1747772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Roscommon University Hospital (RUH)</w:t>
      </w:r>
    </w:p>
    <w:p w14:paraId="2BB39E5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 xml:space="preserve">Sligo University Hospital (SUH) incorporating Our Lady’s Hospital </w:t>
      </w:r>
      <w:proofErr w:type="spellStart"/>
      <w:r w:rsidRPr="00E12BD9">
        <w:rPr>
          <w:rFonts w:ascii="Arial" w:eastAsia="Times New Roman" w:hAnsi="Arial" w:cs="Arial"/>
          <w:sz w:val="20"/>
          <w:szCs w:val="20"/>
          <w:lang w:val="en-GB" w:eastAsia="en-GB"/>
        </w:rPr>
        <w:t>Manorhamilton</w:t>
      </w:r>
      <w:proofErr w:type="spellEnd"/>
      <w:r w:rsidRPr="00E12BD9">
        <w:rPr>
          <w:rFonts w:ascii="Arial" w:eastAsia="Times New Roman" w:hAnsi="Arial" w:cs="Arial"/>
          <w:sz w:val="20"/>
          <w:szCs w:val="20"/>
          <w:lang w:val="en-GB" w:eastAsia="en-GB"/>
        </w:rPr>
        <w:t xml:space="preserve"> (OLHM)</w:t>
      </w:r>
    </w:p>
    <w:p w14:paraId="24CF254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University Hospital Galway (UHG)</w:t>
      </w:r>
    </w:p>
    <w:p w14:paraId="39D630A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914FC9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Group's Academic Partner is NUI Galway.</w:t>
      </w:r>
    </w:p>
    <w:p w14:paraId="652AEDB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AEF776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Group’s region covers one third of the land mass of Ireland, it provides health care to a population of 830,000, employs 10,653 staff (October 2019), and has a budget of €868 million. </w:t>
      </w:r>
    </w:p>
    <w:p w14:paraId="0FC47B0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FB1198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482E3E2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 </w:t>
      </w:r>
    </w:p>
    <w:p w14:paraId="3112D81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 Care Group aims to meet its service plan targets. Its priority is to implement the national Clinical Care programmes across the Group and establish a performance management culture with the development of Key Performance Indicators.</w:t>
      </w:r>
    </w:p>
    <w:p w14:paraId="3AF91BF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1B18C66"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Vision</w:t>
      </w:r>
    </w:p>
    <w:p w14:paraId="1363E01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vision is to be a leading academic Hospital Group providing excellent integrated patient-centred care delivered by skilled caring staff.</w:t>
      </w:r>
    </w:p>
    <w:p w14:paraId="7998FE0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D55D59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0F0D31B"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roofErr w:type="spellStart"/>
      <w:r w:rsidRPr="00E12BD9">
        <w:rPr>
          <w:rFonts w:ascii="Arial" w:eastAsia="Times New Roman" w:hAnsi="Arial" w:cs="Arial"/>
          <w:b/>
          <w:sz w:val="20"/>
          <w:szCs w:val="20"/>
          <w:lang w:val="en-GB" w:eastAsia="en-GB"/>
        </w:rPr>
        <w:t>Saolta</w:t>
      </w:r>
      <w:proofErr w:type="spellEnd"/>
      <w:r w:rsidRPr="00E12BD9">
        <w:rPr>
          <w:rFonts w:ascii="Arial" w:eastAsia="Times New Roman" w:hAnsi="Arial" w:cs="Arial"/>
          <w:b/>
          <w:sz w:val="20"/>
          <w:szCs w:val="20"/>
          <w:lang w:val="en-GB" w:eastAsia="en-GB"/>
        </w:rPr>
        <w:t xml:space="preserve"> Guiding Principles</w:t>
      </w:r>
    </w:p>
    <w:p w14:paraId="11DFA26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Care - Compassion - Trust - Learning</w:t>
      </w:r>
    </w:p>
    <w:p w14:paraId="4B65287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2CE7D8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guiding principles are to work in partnership with patients and other healthcare providers across the continuum of care to:</w:t>
      </w:r>
    </w:p>
    <w:p w14:paraId="46B185A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360E53C"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high quality, safe, timely and equitable patient care by developing and ensuring sustainable clinical services to meet the needs of our population.</w:t>
      </w:r>
    </w:p>
    <w:p w14:paraId="5746F48E"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 xml:space="preserve">Deliver integrated services across the </w:t>
      </w:r>
      <w:proofErr w:type="spellStart"/>
      <w:r w:rsidRPr="006D22D2">
        <w:rPr>
          <w:rFonts w:ascii="Arial" w:eastAsia="Times New Roman" w:hAnsi="Arial" w:cs="Arial"/>
          <w:sz w:val="20"/>
          <w:szCs w:val="20"/>
          <w:lang w:val="en-GB" w:eastAsia="en-GB"/>
        </w:rPr>
        <w:t>Saolta</w:t>
      </w:r>
      <w:proofErr w:type="spellEnd"/>
      <w:r w:rsidRPr="006D22D2">
        <w:rPr>
          <w:rFonts w:ascii="Arial" w:eastAsia="Times New Roman" w:hAnsi="Arial" w:cs="Arial"/>
          <w:sz w:val="20"/>
          <w:szCs w:val="20"/>
          <w:lang w:val="en-GB" w:eastAsia="en-GB"/>
        </w:rPr>
        <w:t xml:space="preserve"> Group Hospitals, with clear lines of responsibility, accountability and authority, whilst maintaining individual hospital site integrity.</w:t>
      </w:r>
    </w:p>
    <w:p w14:paraId="5820C98B"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Continue to develop and improve our clinical services supported by education, research and innovation, in partnership with NUI Galway and other academic partners.</w:t>
      </w:r>
    </w:p>
    <w:p w14:paraId="7CE0D127"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Recruit, retain and develop highly-skilled multidisciplinary teams through support, engagement and empowerment.</w:t>
      </w:r>
    </w:p>
    <w:p w14:paraId="57C4C87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34A79E2"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4B329CFB"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6FBD26C4"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roofErr w:type="spellStart"/>
      <w:r w:rsidRPr="00E12BD9">
        <w:rPr>
          <w:rFonts w:ascii="Arial" w:eastAsia="Times New Roman" w:hAnsi="Arial" w:cs="Arial"/>
          <w:b/>
          <w:sz w:val="20"/>
          <w:szCs w:val="20"/>
          <w:lang w:val="en-GB" w:eastAsia="en-GB"/>
        </w:rPr>
        <w:t>Saolta</w:t>
      </w:r>
      <w:proofErr w:type="spellEnd"/>
      <w:r w:rsidRPr="00E12BD9">
        <w:rPr>
          <w:rFonts w:ascii="Arial" w:eastAsia="Times New Roman" w:hAnsi="Arial" w:cs="Arial"/>
          <w:b/>
          <w:sz w:val="20"/>
          <w:szCs w:val="20"/>
          <w:lang w:val="en-GB" w:eastAsia="en-GB"/>
        </w:rPr>
        <w:t xml:space="preserve"> Strategy 2019-2023</w:t>
      </w:r>
    </w:p>
    <w:p w14:paraId="4685286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have developed a five year strategy which outlines the vision and framework for the Group’s strategic development from 2019 to 2023.</w:t>
      </w:r>
    </w:p>
    <w:p w14:paraId="7D6B291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131544D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31FF613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D409AA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2278AF5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AEB4D7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While the tertiary referral centre for the Group is University Hospital Galway, it is essential that all our hospitals work more closely together in delivering services to address the challenges facing us across our region. </w:t>
      </w:r>
    </w:p>
    <w:p w14:paraId="00076BD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7C0743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A key theme of our 5 year strategy is the development of Managed Clinical and Academic Networks.</w:t>
      </w:r>
    </w:p>
    <w:p w14:paraId="6D363CE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4CBBE9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275A875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Vision</w:t>
      </w:r>
    </w:p>
    <w:p w14:paraId="5706ACB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formation of the hospitals groups, which will transition to independent hospital trusts, will change how hospitals relate to each other and integrate with the academic sector. Over time, the Group will deliver:</w:t>
      </w:r>
    </w:p>
    <w:p w14:paraId="361D6E8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2252C4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Higher quality service</w:t>
      </w:r>
    </w:p>
    <w:p w14:paraId="0720320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standards of care</w:t>
      </w:r>
    </w:p>
    <w:p w14:paraId="792B092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access to care</w:t>
      </w:r>
    </w:p>
    <w:p w14:paraId="030B379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Stronger leadership</w:t>
      </w:r>
    </w:p>
    <w:p w14:paraId="6060A9F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766651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Greater integration between the healthcare agenda and the teaching, training, research and innovation agenda</w:t>
      </w:r>
    </w:p>
    <w:p w14:paraId="2E402E52"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
    <w:p w14:paraId="6F3DBE0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b/>
          <w:sz w:val="20"/>
          <w:szCs w:val="20"/>
          <w:lang w:val="en-GB" w:eastAsia="en-GB"/>
        </w:rPr>
        <w:t xml:space="preserve">Letterkenny University Hospital </w:t>
      </w:r>
      <w:r w:rsidRPr="00E12BD9">
        <w:rPr>
          <w:rFonts w:ascii="Arial" w:eastAsia="Times New Roman" w:hAnsi="Arial" w:cs="Arial"/>
          <w:sz w:val="20"/>
          <w:szCs w:val="20"/>
          <w:lang w:val="en-GB" w:eastAsia="en-GB"/>
        </w:rPr>
        <w:t xml:space="preserve">is part of 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Healthcare Group and is the second-largest Model 3 hospital in the HSE network with approximately 24,000 in-patients per annum. </w:t>
      </w:r>
    </w:p>
    <w:p w14:paraId="2EB0F6C1"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55F711AB"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026DB8DF"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Letterkenny University Hospital </w:t>
      </w:r>
    </w:p>
    <w:p w14:paraId="4659FE21"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05771DE6" w14:textId="77777777" w:rsidR="00E12BD9" w:rsidRDefault="00E12BD9" w:rsidP="006D22D2">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Lette</w:t>
      </w:r>
      <w:r>
        <w:rPr>
          <w:rFonts w:ascii="Arial" w:eastAsia="Times New Roman" w:hAnsi="Arial" w:cs="Arial"/>
          <w:sz w:val="20"/>
          <w:szCs w:val="20"/>
          <w:lang w:val="en-GB" w:eastAsia="en-GB"/>
        </w:rPr>
        <w:t xml:space="preserve">rkenny </w:t>
      </w:r>
      <w:r w:rsidR="006D22D2">
        <w:rPr>
          <w:rFonts w:ascii="Arial" w:eastAsia="Times New Roman" w:hAnsi="Arial" w:cs="Arial"/>
          <w:sz w:val="20"/>
          <w:szCs w:val="20"/>
          <w:lang w:val="en-GB" w:eastAsia="en-GB"/>
        </w:rPr>
        <w:t>University</w:t>
      </w:r>
      <w:r>
        <w:rPr>
          <w:rFonts w:ascii="Arial" w:eastAsia="Times New Roman" w:hAnsi="Arial" w:cs="Arial"/>
          <w:sz w:val="20"/>
          <w:szCs w:val="20"/>
          <w:lang w:val="en-GB" w:eastAsia="en-GB"/>
        </w:rPr>
        <w:t xml:space="preserve"> Hospital is a 330</w:t>
      </w:r>
      <w:r w:rsidRPr="00E12BD9">
        <w:rPr>
          <w:rFonts w:ascii="Arial" w:eastAsia="Times New Roman" w:hAnsi="Arial" w:cs="Arial"/>
          <w:sz w:val="20"/>
          <w:szCs w:val="20"/>
          <w:lang w:val="en-GB" w:eastAsia="en-GB"/>
        </w:rPr>
        <w:t xml:space="preserve"> bedded </w:t>
      </w:r>
      <w:r>
        <w:rPr>
          <w:rFonts w:ascii="Arial" w:eastAsia="Times New Roman" w:hAnsi="Arial" w:cs="Arial"/>
          <w:sz w:val="20"/>
          <w:szCs w:val="20"/>
          <w:lang w:val="en-GB" w:eastAsia="en-GB"/>
        </w:rPr>
        <w:t>University</w:t>
      </w:r>
      <w:r w:rsidRPr="00E12BD9">
        <w:rPr>
          <w:rFonts w:ascii="Arial" w:eastAsia="Times New Roman" w:hAnsi="Arial" w:cs="Arial"/>
          <w:sz w:val="20"/>
          <w:szCs w:val="20"/>
          <w:lang w:val="en-GB" w:eastAsia="en-GB"/>
        </w:rPr>
        <w:t xml:space="preserve"> Hospital, which provides a wide range of acute hospital services on an in-patient, day-case and out-patient basis, services include Intensive Care, Coronary Care, General Medicine, Geriatric care, Renal Dialysis, General Surgical and Urology, Obstetrics and Gynaecology, Paediatric care (including a Neo-Natal Unit), Orthopaedics and  Consultant-led Oncology and Haematology Services.</w:t>
      </w:r>
    </w:p>
    <w:p w14:paraId="45C2A5DE" w14:textId="77777777" w:rsidR="006D22D2" w:rsidRPr="00E12BD9" w:rsidRDefault="006D22D2" w:rsidP="006D22D2">
      <w:pPr>
        <w:spacing w:after="0" w:line="240" w:lineRule="auto"/>
        <w:jc w:val="both"/>
        <w:rPr>
          <w:rFonts w:ascii="Arial" w:eastAsia="Times New Roman" w:hAnsi="Arial" w:cs="Arial"/>
          <w:sz w:val="20"/>
          <w:szCs w:val="20"/>
          <w:lang w:val="en-GB" w:eastAsia="en-GB"/>
        </w:rPr>
      </w:pPr>
    </w:p>
    <w:p w14:paraId="57622105" w14:textId="77777777" w:rsidR="00E12BD9" w:rsidRDefault="00E12BD9" w:rsidP="006D22D2">
      <w:pPr>
        <w:shd w:val="clear" w:color="auto" w:fill="FFFFFF"/>
        <w:spacing w:after="15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There is a full range of clinical and non-clinical support services available on-site including four main theatres, CSSD Department, Pathology/ Laboratory Department</w:t>
      </w:r>
      <w:r w:rsidR="006D22D2">
        <w:rPr>
          <w:rFonts w:ascii="Arial" w:eastAsia="Times New Roman" w:hAnsi="Arial" w:cs="Arial"/>
          <w:sz w:val="20"/>
          <w:szCs w:val="20"/>
          <w:lang w:val="en-GB" w:eastAsia="en-GB"/>
        </w:rPr>
        <w:t>, Radiology Department including Interventional Radiology</w:t>
      </w:r>
      <w:r w:rsidRPr="00E12BD9">
        <w:rPr>
          <w:rFonts w:ascii="Arial" w:eastAsia="Times New Roman" w:hAnsi="Arial" w:cs="Arial"/>
          <w:sz w:val="20"/>
          <w:szCs w:val="20"/>
          <w:lang w:val="en-GB" w:eastAsia="en-GB"/>
        </w:rPr>
        <w:t xml:space="preserve"> and a Pharmacy Department. Part of the main Letterkenny </w:t>
      </w:r>
      <w:r w:rsidR="006D22D2">
        <w:rPr>
          <w:rFonts w:ascii="Arial" w:eastAsia="Times New Roman" w:hAnsi="Arial" w:cs="Arial"/>
          <w:sz w:val="20"/>
          <w:szCs w:val="20"/>
          <w:lang w:val="en-GB" w:eastAsia="en-GB"/>
        </w:rPr>
        <w:t xml:space="preserve">University </w:t>
      </w:r>
      <w:r w:rsidRPr="00E12BD9">
        <w:rPr>
          <w:rFonts w:ascii="Arial" w:eastAsia="Times New Roman" w:hAnsi="Arial" w:cs="Arial"/>
          <w:sz w:val="20"/>
          <w:szCs w:val="20"/>
          <w:lang w:val="en-GB" w:eastAsia="en-GB"/>
        </w:rPr>
        <w:t>Hospital building includes an Acute Psychiatric Inpatien</w:t>
      </w:r>
      <w:r w:rsidR="006D22D2">
        <w:rPr>
          <w:rFonts w:ascii="Arial" w:eastAsia="Times New Roman" w:hAnsi="Arial" w:cs="Arial"/>
          <w:sz w:val="20"/>
          <w:szCs w:val="20"/>
          <w:lang w:val="en-GB" w:eastAsia="en-GB"/>
        </w:rPr>
        <w:t xml:space="preserve">t Unit. </w:t>
      </w:r>
    </w:p>
    <w:p w14:paraId="6A99A1D1" w14:textId="77777777" w:rsidR="006D22D2" w:rsidRDefault="006D22D2" w:rsidP="006D22D2">
      <w:pPr>
        <w:shd w:val="clear" w:color="auto" w:fill="FFFFFF"/>
        <w:spacing w:after="150" w:line="240" w:lineRule="auto"/>
        <w:jc w:val="both"/>
        <w:rPr>
          <w:rFonts w:ascii="Arial" w:eastAsia="Times New Roman" w:hAnsi="Arial" w:cs="Arial"/>
          <w:sz w:val="20"/>
          <w:szCs w:val="20"/>
          <w:lang w:val="en-GB" w:eastAsia="en-GB"/>
        </w:rPr>
      </w:pPr>
    </w:p>
    <w:p w14:paraId="22E1C970" w14:textId="77777777" w:rsidR="006D22D2" w:rsidRDefault="00E5534C" w:rsidP="006D22D2">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lastRenderedPageBreak/>
        <w:t xml:space="preserve">Department of </w:t>
      </w:r>
      <w:r w:rsidR="00C04251">
        <w:rPr>
          <w:rFonts w:ascii="Arial" w:eastAsia="Times New Roman" w:hAnsi="Arial" w:cs="Times New Roman"/>
          <w:b/>
          <w:sz w:val="24"/>
          <w:szCs w:val="24"/>
          <w:lang w:val="en-GB"/>
        </w:rPr>
        <w:t>Haematology</w:t>
      </w:r>
    </w:p>
    <w:p w14:paraId="4AF9807D" w14:textId="77777777" w:rsidR="006D22D2" w:rsidRPr="006D22D2" w:rsidRDefault="006D22D2" w:rsidP="006D22D2">
      <w:pPr>
        <w:keepNext/>
        <w:spacing w:after="0" w:line="240" w:lineRule="auto"/>
        <w:jc w:val="both"/>
        <w:outlineLvl w:val="0"/>
        <w:rPr>
          <w:rFonts w:ascii="Arial" w:eastAsia="Times New Roman" w:hAnsi="Arial" w:cs="Times New Roman"/>
          <w:b/>
          <w:sz w:val="24"/>
          <w:szCs w:val="24"/>
          <w:lang w:val="en-GB"/>
        </w:rPr>
      </w:pPr>
    </w:p>
    <w:p w14:paraId="60C31B18" w14:textId="77777777" w:rsidR="00C04251" w:rsidRDefault="00C04251" w:rsidP="00C04251">
      <w:pPr>
        <w:keepNext/>
        <w:spacing w:after="0" w:line="240" w:lineRule="auto"/>
        <w:jc w:val="both"/>
        <w:outlineLvl w:val="0"/>
        <w:rPr>
          <w:rFonts w:ascii="Arial" w:eastAsia="Times New Roman" w:hAnsi="Arial" w:cs="Times New Roman"/>
          <w:sz w:val="20"/>
          <w:szCs w:val="24"/>
          <w:lang w:val="en-GB"/>
        </w:rPr>
      </w:pPr>
      <w:r>
        <w:rPr>
          <w:rFonts w:ascii="Arial" w:eastAsia="Times New Roman" w:hAnsi="Arial" w:cs="Times New Roman"/>
          <w:sz w:val="20"/>
          <w:szCs w:val="24"/>
          <w:lang w:val="en-GB"/>
        </w:rPr>
        <w:t>The Department of Haematology is a b</w:t>
      </w:r>
      <w:r w:rsidRPr="00C04251">
        <w:rPr>
          <w:rFonts w:ascii="Arial" w:eastAsia="Times New Roman" w:hAnsi="Arial" w:cs="Times New Roman"/>
          <w:sz w:val="20"/>
          <w:szCs w:val="24"/>
          <w:lang w:val="en-GB"/>
        </w:rPr>
        <w:t xml:space="preserve">usy clinical Haematology practice </w:t>
      </w:r>
      <w:proofErr w:type="spellStart"/>
      <w:r w:rsidRPr="00C04251">
        <w:rPr>
          <w:rFonts w:ascii="Arial" w:eastAsia="Times New Roman" w:hAnsi="Arial" w:cs="Times New Roman"/>
          <w:sz w:val="20"/>
          <w:szCs w:val="24"/>
          <w:lang w:val="en-GB"/>
        </w:rPr>
        <w:t>centered</w:t>
      </w:r>
      <w:proofErr w:type="spellEnd"/>
      <w:r w:rsidRPr="00C04251">
        <w:rPr>
          <w:rFonts w:ascii="Arial" w:eastAsia="Times New Roman" w:hAnsi="Arial" w:cs="Times New Roman"/>
          <w:sz w:val="20"/>
          <w:szCs w:val="24"/>
          <w:lang w:val="en-GB"/>
        </w:rPr>
        <w:t xml:space="preserve"> on Letterkenny University Hospital serving the population of County Donegal north of the </w:t>
      </w:r>
      <w:proofErr w:type="spellStart"/>
      <w:r w:rsidRPr="00C04251">
        <w:rPr>
          <w:rFonts w:ascii="Arial" w:eastAsia="Times New Roman" w:hAnsi="Arial" w:cs="Times New Roman"/>
          <w:sz w:val="20"/>
          <w:szCs w:val="24"/>
          <w:lang w:val="en-GB"/>
        </w:rPr>
        <w:t>Laghey-Pettigo</w:t>
      </w:r>
      <w:proofErr w:type="spellEnd"/>
      <w:r w:rsidRPr="00C04251">
        <w:rPr>
          <w:rFonts w:ascii="Arial" w:eastAsia="Times New Roman" w:hAnsi="Arial" w:cs="Times New Roman"/>
          <w:sz w:val="20"/>
          <w:szCs w:val="24"/>
          <w:lang w:val="en-GB"/>
        </w:rPr>
        <w:t xml:space="preserve"> line (~ 140,000). Within the Hospital, there are 2 outpatient clinics per week with a day service providing chemotherapy and benign haematology support as well as a dedicated 11 bed in-patient ward (shared with Oncology). </w:t>
      </w:r>
    </w:p>
    <w:p w14:paraId="37F33FD6" w14:textId="77777777" w:rsidR="00C04251" w:rsidRPr="00C04251" w:rsidRDefault="00C04251" w:rsidP="00C04251">
      <w:pPr>
        <w:keepNext/>
        <w:spacing w:after="0" w:line="240" w:lineRule="auto"/>
        <w:jc w:val="both"/>
        <w:outlineLvl w:val="0"/>
        <w:rPr>
          <w:rFonts w:ascii="Arial" w:eastAsia="Times New Roman" w:hAnsi="Arial" w:cs="Times New Roman"/>
          <w:sz w:val="20"/>
          <w:szCs w:val="24"/>
          <w:lang w:val="en-GB"/>
        </w:rPr>
      </w:pPr>
    </w:p>
    <w:p w14:paraId="09E4BF99" w14:textId="77777777" w:rsidR="00C04251" w:rsidRDefault="00C04251" w:rsidP="00C04251">
      <w:pPr>
        <w:keepNext/>
        <w:spacing w:after="0" w:line="240" w:lineRule="auto"/>
        <w:jc w:val="both"/>
        <w:outlineLvl w:val="0"/>
        <w:rPr>
          <w:rFonts w:ascii="Arial" w:eastAsia="Times New Roman" w:hAnsi="Arial" w:cs="Times New Roman"/>
          <w:sz w:val="20"/>
          <w:szCs w:val="24"/>
          <w:lang w:val="en-GB"/>
        </w:rPr>
      </w:pPr>
      <w:r w:rsidRPr="00C04251">
        <w:rPr>
          <w:rFonts w:ascii="Arial" w:eastAsia="Times New Roman" w:hAnsi="Arial" w:cs="Times New Roman"/>
          <w:sz w:val="20"/>
          <w:szCs w:val="24"/>
          <w:lang w:val="en-GB"/>
        </w:rPr>
        <w:t xml:space="preserve">The Haematology Consultant staff provide out of hours Clinical &amp; Laboratory Haematology / Blood Transfusion advice to other disciplines and are responsible for the Haematology / Blood Transfusion Laboratory service at the Hospital. </w:t>
      </w:r>
    </w:p>
    <w:p w14:paraId="279715AB" w14:textId="77777777" w:rsidR="00C04251" w:rsidRDefault="00C04251" w:rsidP="00C04251">
      <w:pPr>
        <w:keepNext/>
        <w:spacing w:after="0" w:line="240" w:lineRule="auto"/>
        <w:jc w:val="both"/>
        <w:outlineLvl w:val="0"/>
        <w:rPr>
          <w:rFonts w:ascii="Arial" w:eastAsia="Times New Roman" w:hAnsi="Arial" w:cs="Times New Roman"/>
          <w:sz w:val="20"/>
          <w:szCs w:val="24"/>
          <w:lang w:val="en-GB"/>
        </w:rPr>
      </w:pPr>
    </w:p>
    <w:p w14:paraId="6A2706BA" w14:textId="77777777" w:rsidR="00C04251" w:rsidRDefault="00C04251" w:rsidP="00C04251">
      <w:pPr>
        <w:keepNext/>
        <w:spacing w:after="0" w:line="240" w:lineRule="auto"/>
        <w:jc w:val="both"/>
        <w:outlineLvl w:val="0"/>
        <w:rPr>
          <w:rFonts w:ascii="Arial" w:eastAsia="Times New Roman" w:hAnsi="Arial" w:cs="Times New Roman"/>
          <w:sz w:val="20"/>
          <w:szCs w:val="24"/>
          <w:lang w:val="en-GB"/>
        </w:rPr>
      </w:pPr>
      <w:r w:rsidRPr="00C04251">
        <w:rPr>
          <w:rFonts w:ascii="Arial" w:eastAsia="Times New Roman" w:hAnsi="Arial" w:cs="Times New Roman"/>
          <w:sz w:val="20"/>
          <w:szCs w:val="24"/>
          <w:lang w:val="en-GB"/>
        </w:rPr>
        <w:t xml:space="preserve">An advisory service is also provided to General Practitioners within the Hospital’s catchment area with oversight of the anticoagulation clinic at the Hospital. </w:t>
      </w:r>
    </w:p>
    <w:p w14:paraId="763A03F4" w14:textId="77777777" w:rsidR="00C04251" w:rsidRDefault="00C04251" w:rsidP="00C04251">
      <w:pPr>
        <w:keepNext/>
        <w:spacing w:after="0" w:line="240" w:lineRule="auto"/>
        <w:jc w:val="both"/>
        <w:outlineLvl w:val="0"/>
        <w:rPr>
          <w:rFonts w:ascii="Arial" w:eastAsia="Times New Roman" w:hAnsi="Arial" w:cs="Times New Roman"/>
          <w:sz w:val="20"/>
          <w:szCs w:val="24"/>
          <w:lang w:val="en-GB"/>
        </w:rPr>
      </w:pPr>
    </w:p>
    <w:p w14:paraId="2AB6A78B" w14:textId="77777777" w:rsidR="00C04251" w:rsidRDefault="00C04251" w:rsidP="00C04251">
      <w:pPr>
        <w:keepNext/>
        <w:spacing w:after="0" w:line="240" w:lineRule="auto"/>
        <w:jc w:val="both"/>
        <w:outlineLvl w:val="0"/>
        <w:rPr>
          <w:rFonts w:ascii="Arial" w:eastAsia="Times New Roman" w:hAnsi="Arial" w:cs="Times New Roman"/>
          <w:sz w:val="20"/>
          <w:szCs w:val="24"/>
          <w:lang w:val="en-GB"/>
        </w:rPr>
      </w:pPr>
      <w:r w:rsidRPr="00C04251">
        <w:rPr>
          <w:rFonts w:ascii="Arial" w:eastAsia="Times New Roman" w:hAnsi="Arial" w:cs="Times New Roman"/>
          <w:sz w:val="20"/>
          <w:szCs w:val="24"/>
          <w:lang w:val="en-GB"/>
        </w:rPr>
        <w:t xml:space="preserve">Close linkages have been established with the Haematology service at University Hospital Galway with a weekly multidisciplinary meeting to facilitate management of difficult cases, particularly in the areas of lymphoproliferative disease and multiple myeloma while long-standing linkages are in place with the National </w:t>
      </w:r>
      <w:proofErr w:type="spellStart"/>
      <w:r w:rsidRPr="00C04251">
        <w:rPr>
          <w:rFonts w:ascii="Arial" w:eastAsia="Times New Roman" w:hAnsi="Arial" w:cs="Times New Roman"/>
          <w:sz w:val="20"/>
          <w:szCs w:val="24"/>
          <w:lang w:val="en-GB"/>
        </w:rPr>
        <w:t>Childrens</w:t>
      </w:r>
      <w:proofErr w:type="spellEnd"/>
      <w:r w:rsidRPr="00C04251">
        <w:rPr>
          <w:rFonts w:ascii="Arial" w:eastAsia="Times New Roman" w:hAnsi="Arial" w:cs="Times New Roman"/>
          <w:sz w:val="20"/>
          <w:szCs w:val="24"/>
          <w:lang w:val="en-GB"/>
        </w:rPr>
        <w:t xml:space="preserve"> Hospital for management of paediatric cases.</w:t>
      </w:r>
    </w:p>
    <w:p w14:paraId="3C465BBC" w14:textId="77777777" w:rsidR="00C04251" w:rsidRPr="00C04251" w:rsidRDefault="00C04251" w:rsidP="00C04251">
      <w:pPr>
        <w:keepNext/>
        <w:spacing w:after="0" w:line="240" w:lineRule="auto"/>
        <w:jc w:val="both"/>
        <w:outlineLvl w:val="0"/>
        <w:rPr>
          <w:rFonts w:ascii="Arial" w:eastAsia="Times New Roman" w:hAnsi="Arial" w:cs="Times New Roman"/>
          <w:sz w:val="20"/>
          <w:szCs w:val="24"/>
          <w:lang w:val="en-GB"/>
        </w:rPr>
      </w:pPr>
    </w:p>
    <w:p w14:paraId="723A05C6" w14:textId="77777777" w:rsidR="00C04251" w:rsidRDefault="00C04251" w:rsidP="00C04251">
      <w:pPr>
        <w:keepNext/>
        <w:spacing w:after="0" w:line="240" w:lineRule="auto"/>
        <w:jc w:val="both"/>
        <w:outlineLvl w:val="0"/>
        <w:rPr>
          <w:rFonts w:ascii="Arial" w:eastAsia="Times New Roman" w:hAnsi="Arial" w:cs="Times New Roman"/>
          <w:sz w:val="20"/>
          <w:szCs w:val="24"/>
          <w:lang w:val="en-GB"/>
        </w:rPr>
      </w:pPr>
      <w:r w:rsidRPr="00C04251">
        <w:rPr>
          <w:rFonts w:ascii="Arial" w:eastAsia="Times New Roman" w:hAnsi="Arial" w:cs="Times New Roman"/>
          <w:sz w:val="20"/>
          <w:szCs w:val="24"/>
          <w:lang w:val="en-GB"/>
        </w:rPr>
        <w:t>NCHD Support staff include</w:t>
      </w:r>
    </w:p>
    <w:p w14:paraId="36FC6BE6" w14:textId="77777777" w:rsidR="00C04251" w:rsidRPr="00C04251" w:rsidRDefault="00C04251" w:rsidP="00C04251">
      <w:pPr>
        <w:keepNext/>
        <w:spacing w:after="0" w:line="240" w:lineRule="auto"/>
        <w:jc w:val="both"/>
        <w:outlineLvl w:val="0"/>
        <w:rPr>
          <w:rFonts w:ascii="Arial" w:eastAsia="Times New Roman" w:hAnsi="Arial" w:cs="Times New Roman"/>
          <w:sz w:val="20"/>
          <w:szCs w:val="24"/>
          <w:lang w:val="en-GB"/>
        </w:rPr>
      </w:pPr>
    </w:p>
    <w:p w14:paraId="0CC430D9" w14:textId="77777777" w:rsidR="00C04251" w:rsidRPr="00C04251" w:rsidRDefault="00C04251" w:rsidP="00C04251">
      <w:pPr>
        <w:keepNext/>
        <w:spacing w:after="0" w:line="240" w:lineRule="auto"/>
        <w:jc w:val="both"/>
        <w:outlineLvl w:val="0"/>
        <w:rPr>
          <w:rFonts w:ascii="Arial" w:eastAsia="Times New Roman" w:hAnsi="Arial" w:cs="Times New Roman"/>
          <w:sz w:val="20"/>
          <w:szCs w:val="24"/>
          <w:lang w:val="en-GB"/>
        </w:rPr>
      </w:pPr>
      <w:r w:rsidRPr="00C04251">
        <w:rPr>
          <w:rFonts w:ascii="Arial" w:eastAsia="Times New Roman" w:hAnsi="Arial" w:cs="Times New Roman"/>
          <w:sz w:val="20"/>
          <w:szCs w:val="24"/>
          <w:lang w:val="en-GB"/>
        </w:rPr>
        <w:t>•</w:t>
      </w:r>
      <w:r w:rsidRPr="00C04251">
        <w:rPr>
          <w:rFonts w:ascii="Arial" w:eastAsia="Times New Roman" w:hAnsi="Arial" w:cs="Times New Roman"/>
          <w:sz w:val="20"/>
          <w:szCs w:val="24"/>
          <w:lang w:val="en-GB"/>
        </w:rPr>
        <w:tab/>
        <w:t>3 x Registrars</w:t>
      </w:r>
    </w:p>
    <w:p w14:paraId="5D92A396" w14:textId="77777777" w:rsidR="00C04251" w:rsidRPr="00C04251" w:rsidRDefault="00C04251" w:rsidP="00C04251">
      <w:pPr>
        <w:keepNext/>
        <w:spacing w:after="0" w:line="240" w:lineRule="auto"/>
        <w:jc w:val="both"/>
        <w:outlineLvl w:val="0"/>
        <w:rPr>
          <w:rFonts w:ascii="Arial" w:eastAsia="Times New Roman" w:hAnsi="Arial" w:cs="Times New Roman"/>
          <w:sz w:val="20"/>
          <w:szCs w:val="24"/>
          <w:lang w:val="en-GB"/>
        </w:rPr>
      </w:pPr>
      <w:r>
        <w:rPr>
          <w:rFonts w:ascii="Arial" w:eastAsia="Times New Roman" w:hAnsi="Arial" w:cs="Times New Roman"/>
          <w:sz w:val="20"/>
          <w:szCs w:val="24"/>
          <w:lang w:val="en-GB"/>
        </w:rPr>
        <w:t>•</w:t>
      </w:r>
      <w:r>
        <w:rPr>
          <w:rFonts w:ascii="Arial" w:eastAsia="Times New Roman" w:hAnsi="Arial" w:cs="Times New Roman"/>
          <w:sz w:val="20"/>
          <w:szCs w:val="24"/>
          <w:lang w:val="en-GB"/>
        </w:rPr>
        <w:tab/>
        <w:t>2</w:t>
      </w:r>
      <w:r w:rsidRPr="00C04251">
        <w:rPr>
          <w:rFonts w:ascii="Arial" w:eastAsia="Times New Roman" w:hAnsi="Arial" w:cs="Times New Roman"/>
          <w:sz w:val="20"/>
          <w:szCs w:val="24"/>
          <w:lang w:val="en-GB"/>
        </w:rPr>
        <w:t xml:space="preserve"> x SHO</w:t>
      </w:r>
    </w:p>
    <w:p w14:paraId="5D9A9884" w14:textId="77777777" w:rsidR="00C04251" w:rsidRDefault="00C04251" w:rsidP="00C04251">
      <w:pPr>
        <w:keepNext/>
        <w:spacing w:after="0" w:line="240" w:lineRule="auto"/>
        <w:jc w:val="both"/>
        <w:outlineLvl w:val="0"/>
        <w:rPr>
          <w:rFonts w:ascii="Arial" w:eastAsia="Times New Roman" w:hAnsi="Arial" w:cs="Times New Roman"/>
          <w:sz w:val="20"/>
          <w:szCs w:val="24"/>
          <w:lang w:val="en-GB"/>
        </w:rPr>
      </w:pPr>
    </w:p>
    <w:p w14:paraId="0ED9F6CB" w14:textId="77777777" w:rsidR="00620B85" w:rsidRDefault="00C04251" w:rsidP="00C04251">
      <w:pPr>
        <w:keepNext/>
        <w:spacing w:after="0" w:line="240" w:lineRule="auto"/>
        <w:jc w:val="both"/>
        <w:outlineLvl w:val="0"/>
        <w:rPr>
          <w:rFonts w:ascii="Arial" w:eastAsia="Times New Roman" w:hAnsi="Arial" w:cs="Times New Roman"/>
          <w:b/>
          <w:sz w:val="24"/>
          <w:szCs w:val="24"/>
          <w:lang w:val="en-GB"/>
        </w:rPr>
      </w:pPr>
      <w:r w:rsidRPr="00C04251">
        <w:rPr>
          <w:rFonts w:ascii="Arial" w:eastAsia="Times New Roman" w:hAnsi="Arial" w:cs="Times New Roman"/>
          <w:sz w:val="20"/>
          <w:szCs w:val="24"/>
          <w:lang w:val="en-GB"/>
        </w:rPr>
        <w:t>The Haematology Service is supported also by nursing staff including 1 ANP in Haematology.</w:t>
      </w:r>
    </w:p>
    <w:p w14:paraId="5ADD805E" w14:textId="77777777" w:rsidR="00620B85" w:rsidRDefault="00620B85" w:rsidP="00E12BD9">
      <w:pPr>
        <w:keepNext/>
        <w:spacing w:after="0" w:line="240" w:lineRule="auto"/>
        <w:jc w:val="both"/>
        <w:outlineLvl w:val="0"/>
        <w:rPr>
          <w:rFonts w:ascii="Arial" w:eastAsia="Times New Roman" w:hAnsi="Arial" w:cs="Times New Roman"/>
          <w:b/>
          <w:sz w:val="24"/>
          <w:szCs w:val="24"/>
          <w:lang w:val="en-GB"/>
        </w:rPr>
      </w:pPr>
    </w:p>
    <w:p w14:paraId="7E927FF2" w14:textId="77777777" w:rsidR="00C04251" w:rsidRDefault="00C04251" w:rsidP="00E12BD9">
      <w:pPr>
        <w:keepNext/>
        <w:spacing w:after="0" w:line="240" w:lineRule="auto"/>
        <w:jc w:val="both"/>
        <w:outlineLvl w:val="0"/>
        <w:rPr>
          <w:rFonts w:ascii="Arial" w:eastAsia="Times New Roman" w:hAnsi="Arial" w:cs="Times New Roman"/>
          <w:b/>
          <w:sz w:val="24"/>
          <w:szCs w:val="24"/>
          <w:lang w:val="en-GB"/>
        </w:rPr>
      </w:pPr>
    </w:p>
    <w:p w14:paraId="55435309" w14:textId="77777777" w:rsidR="00E12BD9" w:rsidRPr="00E12BD9" w:rsidRDefault="006D22D2"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NCHD </w:t>
      </w:r>
      <w:r w:rsidR="00E12BD9" w:rsidRPr="00E12BD9">
        <w:rPr>
          <w:rFonts w:ascii="Arial" w:eastAsia="Times New Roman" w:hAnsi="Arial" w:cs="Times New Roman"/>
          <w:b/>
          <w:sz w:val="24"/>
          <w:szCs w:val="24"/>
          <w:lang w:val="en-GB"/>
        </w:rPr>
        <w:t>Standard Duties and Responsibilities</w:t>
      </w:r>
    </w:p>
    <w:p w14:paraId="12D55E4F"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1E8FAE9B"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NCHD’s standard duties and responsibilities include, as directed by the Consultant / Clinical Director / Employer to, inter alia:</w:t>
      </w:r>
    </w:p>
    <w:p w14:paraId="092A22BD" w14:textId="77777777" w:rsidR="00E12BD9" w:rsidRPr="00E12BD9" w:rsidRDefault="00E12BD9" w:rsidP="00E12BD9">
      <w:pPr>
        <w:spacing w:after="0" w:line="240" w:lineRule="auto"/>
        <w:ind w:left="720"/>
        <w:jc w:val="both"/>
        <w:rPr>
          <w:rFonts w:ascii="Arial" w:eastAsia="Times New Roman" w:hAnsi="Arial" w:cs="Times New Roman"/>
          <w:sz w:val="20"/>
          <w:szCs w:val="24"/>
          <w:lang w:val="en-GB"/>
        </w:rPr>
      </w:pPr>
    </w:p>
    <w:p w14:paraId="30836981"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participate as a member of a multi-disciplinary team in the provision of medical care to patients;</w:t>
      </w:r>
    </w:p>
    <w:p w14:paraId="3C734039"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2C7393B0"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diagnose and treat patients; </w:t>
      </w:r>
    </w:p>
    <w:p w14:paraId="68F59DA1"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31AD0966"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ensure that duties and functions are undertaken in a manner that prioritises the safety and </w:t>
      </w:r>
      <w:proofErr w:type="spellStart"/>
      <w:r w:rsidRPr="00E12BD9">
        <w:rPr>
          <w:rFonts w:ascii="Arial" w:eastAsia="Times New Roman" w:hAnsi="Arial" w:cs="Times New Roman"/>
          <w:sz w:val="20"/>
          <w:szCs w:val="24"/>
          <w:lang w:val="en-GB"/>
        </w:rPr>
        <w:t>well being</w:t>
      </w:r>
      <w:proofErr w:type="spellEnd"/>
      <w:r w:rsidRPr="00E12BD9">
        <w:rPr>
          <w:rFonts w:ascii="Arial" w:eastAsia="Times New Roman" w:hAnsi="Arial" w:cs="Times New Roman"/>
          <w:sz w:val="20"/>
          <w:szCs w:val="24"/>
          <w:lang w:val="en-GB"/>
        </w:rPr>
        <w:t xml:space="preserve"> of patients;</w:t>
      </w:r>
    </w:p>
    <w:p w14:paraId="564E54B6"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1614AEF9"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assess patients on admission and/or discharge as required and write detailed reports in the case notes;  </w:t>
      </w:r>
    </w:p>
    <w:p w14:paraId="32894CAA"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584EF72A"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order and interpret diagnostic tests;</w:t>
      </w:r>
    </w:p>
    <w:p w14:paraId="686CE531"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34A167F6"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initiate and monitor treatment; </w:t>
      </w:r>
    </w:p>
    <w:p w14:paraId="2F1E1612"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304171E1"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communicate effectively with patients and clients;</w:t>
      </w:r>
    </w:p>
    <w:p w14:paraId="59BA8733"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63E18DC9"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further progress knowledge of diagnosis and management; </w:t>
      </w:r>
    </w:p>
    <w:p w14:paraId="5F094530"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01B0353B"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participate in multidisciplinary clinical audit and proactive risk management and facilitate production of all data/information for same; </w:t>
      </w:r>
    </w:p>
    <w:p w14:paraId="5FF6D666"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1B8BE937"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arrangements as are put into place to verify the delivery of all contractual commitments;</w:t>
      </w:r>
    </w:p>
    <w:p w14:paraId="617EAB82"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538693D6"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measures as are necessary to ensure compliance with the requirements of the European Working Time Directive and related Irish legislation;</w:t>
      </w:r>
    </w:p>
    <w:p w14:paraId="6CE24B03"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40649CDD"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co-operate with investigations, enquiries or audit relating to the provision of health services; </w:t>
      </w:r>
    </w:p>
    <w:p w14:paraId="6EE29DFA"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06D37BE8"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comply with statutory and regulatory requirements, agreed training principles</w:t>
      </w:r>
      <w:r w:rsidRPr="00E12BD9">
        <w:rPr>
          <w:vertAlign w:val="superscript"/>
          <w:lang w:val="en-GB"/>
        </w:rPr>
        <w:footnoteReference w:id="1"/>
      </w:r>
      <w:r w:rsidRPr="00E12BD9">
        <w:rPr>
          <w:rFonts w:ascii="Arial" w:eastAsia="Times New Roman" w:hAnsi="Arial" w:cs="Times New Roman"/>
          <w:sz w:val="20"/>
          <w:szCs w:val="24"/>
          <w:lang w:val="en-GB"/>
        </w:rPr>
        <w:t xml:space="preserve"> where appropriate, corporate policies and procedures and human resource policies and procedures (</w:t>
      </w:r>
      <w:proofErr w:type="gramStart"/>
      <w:r w:rsidRPr="00E12BD9">
        <w:rPr>
          <w:rFonts w:ascii="Arial" w:eastAsia="Times New Roman" w:hAnsi="Arial" w:cs="Times New Roman"/>
          <w:sz w:val="20"/>
          <w:szCs w:val="24"/>
          <w:lang w:val="en-GB"/>
        </w:rPr>
        <w:t>e.g.</w:t>
      </w:r>
      <w:proofErr w:type="gramEnd"/>
      <w:r w:rsidRPr="00E12BD9">
        <w:rPr>
          <w:rFonts w:ascii="Arial" w:eastAsia="Times New Roman" w:hAnsi="Arial" w:cs="Times New Roman"/>
          <w:sz w:val="20"/>
          <w:szCs w:val="24"/>
          <w:lang w:val="en-GB"/>
        </w:rPr>
        <w:t xml:space="preserve"> Dignity at Work, Trust in Care, Flexible Working Scheme etc.); </w:t>
      </w:r>
    </w:p>
    <w:p w14:paraId="7A451EF6"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48C1BF99"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 xml:space="preserve">attend at NCHD Induction. Induction training before the commencement of the employment relationship is not paid, while induction training during the currency of the employment relationship is paid; </w:t>
      </w:r>
    </w:p>
    <w:p w14:paraId="4BE030B7"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72B9B80A"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perform other duties as required by the supervising Consultant / Clinical Director / Employer.</w:t>
      </w:r>
    </w:p>
    <w:p w14:paraId="59D6567C"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0EC0C0D2"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Additional duties and responsibilities related to this post may be set out in the job description as issued by the Employer.</w:t>
      </w:r>
    </w:p>
    <w:p w14:paraId="13B1EFBD"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2C46E906"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 is entitled during his/her employment to regular review of his/her performance - including MET/Research performance – by and together with the designated supervisory Consultant / Clinical Director / Head of Academic Department.</w:t>
      </w:r>
    </w:p>
    <w:p w14:paraId="376649F8"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6A30912C" w14:textId="77777777" w:rsid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When carrying out these duties, the NCHD shall abide by the Irish Medical Council ‘Guide to Ethical Conduct and Behaviour’ (copy available directly from the Medical Council or at </w:t>
      </w:r>
      <w:hyperlink r:id="rId8" w:history="1">
        <w:r w:rsidRPr="00E12BD9">
          <w:rPr>
            <w:rFonts w:ascii="Times New Roman" w:eastAsia="Times New Roman" w:hAnsi="Times New Roman" w:cs="Times New Roman"/>
            <w:color w:val="0000FF"/>
            <w:sz w:val="20"/>
            <w:szCs w:val="24"/>
            <w:u w:val="single"/>
            <w:lang w:val="en-GB"/>
          </w:rPr>
          <w:t>www.medicalcouncil.ie</w:t>
        </w:r>
      </w:hyperlink>
      <w:r w:rsidRPr="00E12BD9">
        <w:rPr>
          <w:rFonts w:ascii="Arial" w:eastAsia="Times New Roman" w:hAnsi="Arial" w:cs="Times New Roman"/>
          <w:sz w:val="20"/>
          <w:szCs w:val="24"/>
          <w:lang w:val="en-GB"/>
        </w:rPr>
        <w:t>).</w:t>
      </w:r>
    </w:p>
    <w:p w14:paraId="643E3C45" w14:textId="77777777" w:rsidR="006D22D2" w:rsidRDefault="006D22D2" w:rsidP="00E12BD9">
      <w:pPr>
        <w:spacing w:after="0" w:line="240" w:lineRule="auto"/>
        <w:jc w:val="both"/>
        <w:rPr>
          <w:rFonts w:ascii="Arial" w:eastAsia="Times New Roman" w:hAnsi="Arial" w:cs="Times New Roman"/>
          <w:sz w:val="20"/>
          <w:szCs w:val="24"/>
          <w:lang w:val="en-GB"/>
        </w:rPr>
      </w:pPr>
    </w:p>
    <w:p w14:paraId="429B0380" w14:textId="77777777" w:rsidR="006D22D2" w:rsidRDefault="006D22D2" w:rsidP="00E12BD9">
      <w:pPr>
        <w:spacing w:after="0" w:line="240" w:lineRule="auto"/>
        <w:jc w:val="both"/>
        <w:rPr>
          <w:rFonts w:ascii="Arial" w:eastAsia="Times New Roman" w:hAnsi="Arial" w:cs="Times New Roman"/>
          <w:sz w:val="20"/>
          <w:szCs w:val="24"/>
          <w:lang w:val="en-GB"/>
        </w:rPr>
      </w:pPr>
    </w:p>
    <w:p w14:paraId="73B075A4" w14:textId="77777777" w:rsidR="00E91A27" w:rsidRPr="003B7510" w:rsidRDefault="00E91A27" w:rsidP="00E91A27">
      <w:pPr>
        <w:keepNext/>
        <w:spacing w:after="0" w:line="240" w:lineRule="auto"/>
        <w:jc w:val="both"/>
        <w:outlineLvl w:val="0"/>
        <w:rPr>
          <w:rFonts w:ascii="Arial" w:eastAsia="Times New Roman" w:hAnsi="Arial" w:cs="Arial"/>
          <w:b/>
          <w:sz w:val="24"/>
          <w:szCs w:val="24"/>
          <w:lang w:val="en-GB"/>
        </w:rPr>
      </w:pPr>
      <w:r w:rsidRPr="003B7510">
        <w:rPr>
          <w:rFonts w:ascii="Arial" w:eastAsia="Times New Roman" w:hAnsi="Arial" w:cs="Arial"/>
          <w:b/>
          <w:sz w:val="24"/>
          <w:szCs w:val="24"/>
          <w:lang w:val="en-GB"/>
        </w:rPr>
        <w:t>Yearly Salary</w:t>
      </w:r>
    </w:p>
    <w:p w14:paraId="539E0917" w14:textId="77777777" w:rsidR="00E91A27" w:rsidRPr="003B7510" w:rsidRDefault="00E91A27" w:rsidP="00E91A27">
      <w:pPr>
        <w:spacing w:after="0" w:line="240" w:lineRule="auto"/>
        <w:jc w:val="both"/>
        <w:rPr>
          <w:rFonts w:ascii="Arial" w:eastAsia="Times New Roman" w:hAnsi="Arial" w:cs="Arial"/>
          <w:sz w:val="20"/>
          <w:szCs w:val="24"/>
          <w:lang w:val="en-GB"/>
        </w:rPr>
      </w:pPr>
    </w:p>
    <w:p w14:paraId="70CFA293" w14:textId="77777777" w:rsidR="00E91A27" w:rsidRDefault="00E91A27" w:rsidP="00E91A27">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Senior House Officer</w:t>
      </w:r>
    </w:p>
    <w:p w14:paraId="689CDED5" w14:textId="77777777" w:rsidR="00E91A27" w:rsidRDefault="00E91A27" w:rsidP="00E91A27">
      <w:pPr>
        <w:spacing w:after="0" w:line="240" w:lineRule="auto"/>
        <w:jc w:val="both"/>
        <w:rPr>
          <w:rFonts w:ascii="Arial" w:eastAsia="Times New Roman" w:hAnsi="Arial" w:cs="Arial"/>
          <w:sz w:val="20"/>
          <w:szCs w:val="20"/>
          <w:lang w:val="en-GB"/>
        </w:rPr>
      </w:pPr>
    </w:p>
    <w:p w14:paraId="651D6DEA" w14:textId="77777777" w:rsidR="00E91A27" w:rsidRDefault="00E91A27" w:rsidP="00E91A27">
      <w:pPr>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w:t>
      </w:r>
      <w:r>
        <w:rPr>
          <w:rFonts w:ascii="Arial" w:hAnsi="Arial" w:cs="Arial"/>
          <w:sz w:val="20"/>
          <w:szCs w:val="20"/>
        </w:rPr>
        <w:t>54,203 €56,868 €60,899 €63,554 €68,891 €71,544 €74,133</w:t>
      </w:r>
    </w:p>
    <w:p w14:paraId="350E905C" w14:textId="77777777" w:rsidR="00E91A27" w:rsidRDefault="00E91A27" w:rsidP="00E91A27">
      <w:pPr>
        <w:spacing w:after="0" w:line="240" w:lineRule="auto"/>
        <w:jc w:val="both"/>
        <w:rPr>
          <w:rFonts w:ascii="Arial" w:eastAsia="Times New Roman" w:hAnsi="Arial" w:cs="Arial"/>
          <w:sz w:val="20"/>
          <w:szCs w:val="20"/>
          <w:lang w:val="en-GB"/>
        </w:rPr>
      </w:pPr>
    </w:p>
    <w:p w14:paraId="0AC4F7E9" w14:textId="77777777" w:rsidR="00E91A27" w:rsidRDefault="00E91A27" w:rsidP="00E91A27">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Registrar</w:t>
      </w:r>
    </w:p>
    <w:p w14:paraId="41675AFE" w14:textId="77777777" w:rsidR="00E91A27" w:rsidRDefault="00E91A27" w:rsidP="00E91A27">
      <w:pPr>
        <w:spacing w:after="0" w:line="240" w:lineRule="auto"/>
        <w:jc w:val="both"/>
        <w:rPr>
          <w:rFonts w:ascii="Arial" w:eastAsia="Times New Roman" w:hAnsi="Arial" w:cs="Arial"/>
          <w:sz w:val="20"/>
          <w:szCs w:val="20"/>
          <w:lang w:val="en-GB"/>
        </w:rPr>
      </w:pPr>
    </w:p>
    <w:p w14:paraId="351AA8B4" w14:textId="77777777" w:rsidR="00E91A27" w:rsidRDefault="00E91A27" w:rsidP="00E91A27">
      <w:pPr>
        <w:spacing w:after="0" w:line="240" w:lineRule="auto"/>
        <w:jc w:val="both"/>
        <w:rPr>
          <w:rFonts w:ascii="Arial" w:eastAsia="Times New Roman" w:hAnsi="Arial" w:cs="Arial"/>
          <w:sz w:val="20"/>
          <w:szCs w:val="20"/>
          <w:lang w:val="en-GB"/>
        </w:rPr>
      </w:pPr>
      <w:r>
        <w:rPr>
          <w:rFonts w:ascii="Arial" w:hAnsi="Arial" w:cs="Arial"/>
          <w:sz w:val="20"/>
          <w:szCs w:val="20"/>
        </w:rPr>
        <w:t>€68,891 €71,544 €74,133 €76,039 €78,577 €81,126</w:t>
      </w:r>
    </w:p>
    <w:p w14:paraId="5AC6C07B" w14:textId="77777777" w:rsidR="00E91A27" w:rsidRDefault="00E91A27" w:rsidP="00E91A27"/>
    <w:p w14:paraId="15D30647" w14:textId="77777777" w:rsidR="00E91A27" w:rsidRDefault="00E91A27" w:rsidP="00E91A27">
      <w:pPr>
        <w:keepNext/>
        <w:spacing w:after="0" w:line="240" w:lineRule="auto"/>
        <w:jc w:val="both"/>
        <w:outlineLvl w:val="0"/>
        <w:rPr>
          <w:rFonts w:ascii="Arial" w:eastAsia="Times New Roman" w:hAnsi="Arial" w:cs="Times New Roman"/>
          <w:b/>
          <w:sz w:val="24"/>
          <w:szCs w:val="24"/>
          <w:lang w:val="en-GB"/>
        </w:rPr>
      </w:pPr>
      <w:r w:rsidRPr="00962834">
        <w:rPr>
          <w:rFonts w:ascii="Arial" w:eastAsia="Times New Roman" w:hAnsi="Arial" w:cs="Times New Roman"/>
          <w:b/>
          <w:sz w:val="24"/>
          <w:szCs w:val="24"/>
          <w:lang w:val="en-GB"/>
        </w:rPr>
        <w:t>Contracts</w:t>
      </w:r>
    </w:p>
    <w:p w14:paraId="5BA4923B" w14:textId="77777777" w:rsidR="00E91A27" w:rsidRDefault="00E91A27" w:rsidP="00E91A27">
      <w:pPr>
        <w:keepNext/>
        <w:spacing w:after="0" w:line="240" w:lineRule="auto"/>
        <w:jc w:val="both"/>
        <w:outlineLvl w:val="0"/>
        <w:rPr>
          <w:rFonts w:ascii="Arial" w:eastAsia="Times New Roman" w:hAnsi="Arial" w:cs="Times New Roman"/>
          <w:b/>
          <w:sz w:val="24"/>
          <w:szCs w:val="24"/>
          <w:lang w:val="en-GB"/>
        </w:rPr>
      </w:pPr>
    </w:p>
    <w:p w14:paraId="538AC35D" w14:textId="77777777" w:rsidR="00E91A27" w:rsidRDefault="00E91A27" w:rsidP="00E91A27">
      <w:pPr>
        <w:spacing w:after="0" w:line="240" w:lineRule="auto"/>
        <w:jc w:val="both"/>
        <w:rPr>
          <w:rFonts w:ascii="Arial" w:eastAsia="Times New Roman" w:hAnsi="Arial" w:cs="Times New Roman"/>
          <w:sz w:val="20"/>
          <w:szCs w:val="24"/>
          <w:lang w:val="en-GB"/>
        </w:rPr>
      </w:pPr>
      <w:r w:rsidRPr="00962834">
        <w:rPr>
          <w:rFonts w:ascii="Arial" w:eastAsia="Times New Roman" w:hAnsi="Arial" w:cs="Times New Roman"/>
          <w:sz w:val="20"/>
          <w:szCs w:val="24"/>
          <w:lang w:val="en-GB"/>
        </w:rPr>
        <w:t xml:space="preserve">6 month and </w:t>
      </w:r>
      <w:proofErr w:type="gramStart"/>
      <w:r w:rsidRPr="00962834">
        <w:rPr>
          <w:rFonts w:ascii="Arial" w:eastAsia="Times New Roman" w:hAnsi="Arial" w:cs="Times New Roman"/>
          <w:sz w:val="20"/>
          <w:szCs w:val="24"/>
          <w:lang w:val="en-GB"/>
        </w:rPr>
        <w:t>12 month</w:t>
      </w:r>
      <w:proofErr w:type="gramEnd"/>
      <w:r w:rsidRPr="00962834">
        <w:rPr>
          <w:rFonts w:ascii="Arial" w:eastAsia="Times New Roman" w:hAnsi="Arial" w:cs="Times New Roman"/>
          <w:sz w:val="20"/>
          <w:szCs w:val="24"/>
          <w:lang w:val="en-GB"/>
        </w:rPr>
        <w:t xml:space="preserve"> contracts available</w:t>
      </w:r>
    </w:p>
    <w:p w14:paraId="10F4E25A" w14:textId="77777777" w:rsidR="00962834" w:rsidRDefault="00962834" w:rsidP="00962834">
      <w:pPr>
        <w:spacing w:after="0" w:line="240" w:lineRule="auto"/>
        <w:jc w:val="both"/>
        <w:rPr>
          <w:rFonts w:ascii="Arial" w:eastAsia="Times New Roman" w:hAnsi="Arial" w:cs="Times New Roman"/>
          <w:sz w:val="20"/>
          <w:szCs w:val="24"/>
          <w:lang w:val="en-GB"/>
        </w:rPr>
      </w:pPr>
    </w:p>
    <w:p w14:paraId="1D9C5064" w14:textId="77777777" w:rsidR="00962834" w:rsidRDefault="00962834" w:rsidP="00962834">
      <w:pPr>
        <w:spacing w:after="0" w:line="240" w:lineRule="auto"/>
        <w:jc w:val="both"/>
        <w:rPr>
          <w:rFonts w:ascii="Arial" w:eastAsia="Times New Roman" w:hAnsi="Arial" w:cs="Times New Roman"/>
          <w:sz w:val="20"/>
          <w:szCs w:val="24"/>
          <w:lang w:val="en-GB"/>
        </w:rPr>
      </w:pPr>
    </w:p>
    <w:p w14:paraId="10C4E0ED" w14:textId="77777777" w:rsidR="00962834" w:rsidRPr="00962834" w:rsidRDefault="00962834" w:rsidP="00962834">
      <w:pPr>
        <w:spacing w:after="0" w:line="240" w:lineRule="auto"/>
        <w:jc w:val="both"/>
        <w:rPr>
          <w:rFonts w:ascii="Arial" w:eastAsia="Times New Roman" w:hAnsi="Arial" w:cs="Times New Roman"/>
          <w:sz w:val="20"/>
          <w:szCs w:val="24"/>
          <w:lang w:val="en-GB"/>
        </w:rPr>
      </w:pPr>
    </w:p>
    <w:sectPr w:rsidR="00962834" w:rsidRPr="00962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E2AF" w14:textId="77777777" w:rsidR="00E12BD9" w:rsidRDefault="00E12BD9" w:rsidP="00E12BD9">
      <w:pPr>
        <w:spacing w:after="0" w:line="240" w:lineRule="auto"/>
      </w:pPr>
      <w:r>
        <w:separator/>
      </w:r>
    </w:p>
  </w:endnote>
  <w:endnote w:type="continuationSeparator" w:id="0">
    <w:p w14:paraId="0B02F67F" w14:textId="77777777" w:rsidR="00E12BD9" w:rsidRDefault="00E12BD9" w:rsidP="00E1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A6452" w14:textId="77777777" w:rsidR="00E12BD9" w:rsidRDefault="00E12BD9" w:rsidP="00E12BD9">
      <w:pPr>
        <w:spacing w:after="0" w:line="240" w:lineRule="auto"/>
      </w:pPr>
      <w:r>
        <w:separator/>
      </w:r>
    </w:p>
  </w:footnote>
  <w:footnote w:type="continuationSeparator" w:id="0">
    <w:p w14:paraId="7B36BD40" w14:textId="77777777" w:rsidR="00E12BD9" w:rsidRDefault="00E12BD9" w:rsidP="00E12BD9">
      <w:pPr>
        <w:spacing w:after="0" w:line="240" w:lineRule="auto"/>
      </w:pPr>
      <w:r>
        <w:continuationSeparator/>
      </w:r>
    </w:p>
  </w:footnote>
  <w:footnote w:id="1">
    <w:p w14:paraId="790BD345" w14:textId="77777777" w:rsidR="00E12BD9" w:rsidRDefault="00E12BD9" w:rsidP="00E12BD9">
      <w:pPr>
        <w:pStyle w:val="FootnoteText"/>
        <w:rPr>
          <w:rFonts w:ascii="Arial" w:hAnsi="Arial"/>
          <w:sz w:val="16"/>
        </w:rPr>
      </w:pPr>
      <w:r>
        <w:rPr>
          <w:rStyle w:val="FootnoteReference"/>
          <w:rFonts w:ascii="Arial" w:hAnsi="Arial"/>
        </w:rPr>
        <w:footnoteRef/>
      </w:r>
      <w:r>
        <w:rPr>
          <w:rFonts w:ascii="Arial" w:hAnsi="Arial"/>
          <w:sz w:val="16"/>
        </w:rPr>
        <w:t xml:space="preserve"> </w:t>
      </w:r>
      <w:r>
        <w:rPr>
          <w:rFonts w:ascii="Arial" w:hAnsi="Arial"/>
          <w:sz w:val="16"/>
          <w:lang w:val="en-US"/>
        </w:rPr>
        <w:t>Training Principles to be incorporated into new working arrangements for doctors in training” published by the Medical Education and Training Group, July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B9"/>
    <w:multiLevelType w:val="hybridMultilevel"/>
    <w:tmpl w:val="75C0C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D124F7"/>
    <w:multiLevelType w:val="multilevel"/>
    <w:tmpl w:val="10B0B6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356F79"/>
    <w:multiLevelType w:val="hybridMultilevel"/>
    <w:tmpl w:val="0DFE1E2E"/>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DA0F49"/>
    <w:multiLevelType w:val="hybridMultilevel"/>
    <w:tmpl w:val="3C46C278"/>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765BA3"/>
    <w:multiLevelType w:val="hybridMultilevel"/>
    <w:tmpl w:val="7CA68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1953B4D"/>
    <w:multiLevelType w:val="hybridMultilevel"/>
    <w:tmpl w:val="5F709F34"/>
    <w:lvl w:ilvl="0" w:tplc="B778E42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D9"/>
    <w:rsid w:val="000F483A"/>
    <w:rsid w:val="00137A87"/>
    <w:rsid w:val="002119D9"/>
    <w:rsid w:val="00363D80"/>
    <w:rsid w:val="00477E21"/>
    <w:rsid w:val="00620B85"/>
    <w:rsid w:val="00692F1B"/>
    <w:rsid w:val="006D22D2"/>
    <w:rsid w:val="00897DB0"/>
    <w:rsid w:val="008C505E"/>
    <w:rsid w:val="00962834"/>
    <w:rsid w:val="00A019F8"/>
    <w:rsid w:val="00A43FD7"/>
    <w:rsid w:val="00BE7E70"/>
    <w:rsid w:val="00C04251"/>
    <w:rsid w:val="00C729E0"/>
    <w:rsid w:val="00C87B8F"/>
    <w:rsid w:val="00DE30CD"/>
    <w:rsid w:val="00E12BD9"/>
    <w:rsid w:val="00E5534C"/>
    <w:rsid w:val="00E5647E"/>
    <w:rsid w:val="00E91A27"/>
    <w:rsid w:val="00FB77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82A0"/>
  <w15:docId w15:val="{A5057283-605E-4D98-9B24-110F972E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12BD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12BD9"/>
    <w:rPr>
      <w:rFonts w:ascii="Times New Roman" w:eastAsia="Times New Roman" w:hAnsi="Times New Roman" w:cs="Times New Roman"/>
      <w:sz w:val="20"/>
      <w:szCs w:val="20"/>
      <w:lang w:val="en-GB"/>
    </w:rPr>
  </w:style>
  <w:style w:type="character" w:styleId="FootnoteReference">
    <w:name w:val="footnote reference"/>
    <w:semiHidden/>
    <w:unhideWhenUsed/>
    <w:rsid w:val="00E12BD9"/>
    <w:rPr>
      <w:vertAlign w:val="superscript"/>
    </w:rPr>
  </w:style>
  <w:style w:type="paragraph" w:styleId="ListParagraph">
    <w:name w:val="List Paragraph"/>
    <w:basedOn w:val="Normal"/>
    <w:uiPriority w:val="34"/>
    <w:qFormat/>
    <w:rsid w:val="00E12BD9"/>
    <w:pPr>
      <w:ind w:left="720"/>
      <w:contextualSpacing/>
    </w:pPr>
  </w:style>
  <w:style w:type="paragraph" w:styleId="BalloonText">
    <w:name w:val="Balloon Text"/>
    <w:basedOn w:val="Normal"/>
    <w:link w:val="BalloonTextChar"/>
    <w:uiPriority w:val="99"/>
    <w:semiHidden/>
    <w:unhideWhenUsed/>
    <w:rsid w:val="00E12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1965">
      <w:bodyDiv w:val="1"/>
      <w:marLeft w:val="0"/>
      <w:marRight w:val="0"/>
      <w:marTop w:val="0"/>
      <w:marBottom w:val="0"/>
      <w:divBdr>
        <w:top w:val="none" w:sz="0" w:space="0" w:color="auto"/>
        <w:left w:val="none" w:sz="0" w:space="0" w:color="auto"/>
        <w:bottom w:val="none" w:sz="0" w:space="0" w:color="auto"/>
        <w:right w:val="none" w:sz="0" w:space="0" w:color="auto"/>
      </w:divBdr>
    </w:div>
    <w:div w:id="858738299">
      <w:bodyDiv w:val="1"/>
      <w:marLeft w:val="0"/>
      <w:marRight w:val="0"/>
      <w:marTop w:val="0"/>
      <w:marBottom w:val="0"/>
      <w:divBdr>
        <w:top w:val="none" w:sz="0" w:space="0" w:color="auto"/>
        <w:left w:val="none" w:sz="0" w:space="0" w:color="auto"/>
        <w:bottom w:val="none" w:sz="0" w:space="0" w:color="auto"/>
        <w:right w:val="none" w:sz="0" w:space="0" w:color="auto"/>
      </w:divBdr>
    </w:div>
    <w:div w:id="18561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lcouncil.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Madge Toye</dc:creator>
  <cp:lastModifiedBy>Melissa Egan</cp:lastModifiedBy>
  <cp:revision>2</cp:revision>
  <dcterms:created xsi:type="dcterms:W3CDTF">2025-11-27T11:42:00Z</dcterms:created>
  <dcterms:modified xsi:type="dcterms:W3CDTF">2025-11-27T11:42:00Z</dcterms:modified>
</cp:coreProperties>
</file>