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EC9B8" w14:textId="77777777" w:rsidR="00E12BD9" w:rsidRPr="00E12BD9" w:rsidRDefault="00E12BD9" w:rsidP="00E12BD9">
      <w:pPr>
        <w:keepNext/>
        <w:spacing w:after="0" w:line="240" w:lineRule="auto"/>
        <w:jc w:val="center"/>
        <w:outlineLvl w:val="0"/>
        <w:rPr>
          <w:rFonts w:ascii="Arial" w:eastAsia="Times New Roman" w:hAnsi="Arial" w:cs="Times New Roman"/>
          <w:b/>
          <w:sz w:val="32"/>
          <w:szCs w:val="32"/>
          <w:lang w:val="en-GB"/>
        </w:rPr>
      </w:pPr>
      <w:r w:rsidRPr="00E12BD9">
        <w:rPr>
          <w:rFonts w:ascii="Arial" w:eastAsia="Times New Roman" w:hAnsi="Arial" w:cs="Times New Roman"/>
          <w:b/>
          <w:sz w:val="32"/>
          <w:szCs w:val="32"/>
          <w:lang w:val="en-GB"/>
        </w:rPr>
        <w:t>Job Description – Non Consultant Hospital Doctor (NCHD)</w:t>
      </w:r>
    </w:p>
    <w:p w14:paraId="0ACD53B7"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02114BFB" w14:textId="77777777" w:rsidR="00E12BD9" w:rsidRDefault="00E12BD9" w:rsidP="00E12BD9">
      <w:pPr>
        <w:keepNext/>
        <w:spacing w:after="0" w:line="240" w:lineRule="auto"/>
        <w:jc w:val="center"/>
        <w:outlineLvl w:val="0"/>
        <w:rPr>
          <w:rFonts w:ascii="Arial" w:eastAsia="Times New Roman" w:hAnsi="Arial" w:cs="Times New Roman"/>
          <w:b/>
          <w:sz w:val="24"/>
          <w:szCs w:val="24"/>
          <w:lang w:val="en-GB"/>
        </w:rPr>
      </w:pPr>
      <w:r>
        <w:rPr>
          <w:rFonts w:ascii="Arial" w:eastAsia="Times New Roman" w:hAnsi="Arial" w:cs="Times New Roman"/>
          <w:b/>
          <w:noProof/>
          <w:sz w:val="24"/>
          <w:szCs w:val="24"/>
          <w:lang w:eastAsia="en-IE"/>
        </w:rPr>
        <w:drawing>
          <wp:inline distT="0" distB="0" distL="0" distR="0" wp14:anchorId="7902F3BC" wp14:editId="014D75AD">
            <wp:extent cx="4291965" cy="1061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1965" cy="1061085"/>
                    </a:xfrm>
                    <a:prstGeom prst="rect">
                      <a:avLst/>
                    </a:prstGeom>
                    <a:noFill/>
                  </pic:spPr>
                </pic:pic>
              </a:graphicData>
            </a:graphic>
          </wp:inline>
        </w:drawing>
      </w:r>
    </w:p>
    <w:p w14:paraId="6C9C8E02"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4D00DAEA" w14:textId="77777777" w:rsidR="00E12BD9" w:rsidRPr="00E12BD9" w:rsidRDefault="00E31E59" w:rsidP="00E12BD9">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T</w:t>
      </w:r>
      <w:r w:rsidR="00E12BD9" w:rsidRPr="00E12BD9">
        <w:rPr>
          <w:rFonts w:ascii="Arial" w:eastAsia="Times New Roman" w:hAnsi="Arial" w:cs="Arial"/>
          <w:sz w:val="20"/>
          <w:szCs w:val="20"/>
          <w:lang w:val="en-GB" w:eastAsia="en-GB"/>
        </w:rPr>
        <w:t>he Saolta University Health Care Group provides acute and specialist hospital services to the West and North West of Ireland – counties Galway, Mayo, Roscommon, Sligo, Leitrim, Donegal and adjoining counties.</w:t>
      </w:r>
    </w:p>
    <w:p w14:paraId="34DB1B0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4A9859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Saolta University Health Care Group comprises of 7 hospitals across 8 sites:</w:t>
      </w:r>
    </w:p>
    <w:p w14:paraId="06777AE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0B1CEF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r>
      <w:r w:rsidRPr="00E12BD9">
        <w:rPr>
          <w:rFonts w:ascii="Arial" w:eastAsia="Times New Roman" w:hAnsi="Arial" w:cs="Arial"/>
          <w:b/>
          <w:sz w:val="20"/>
          <w:szCs w:val="20"/>
          <w:lang w:val="en-GB" w:eastAsia="en-GB"/>
        </w:rPr>
        <w:t>Letterkenny University Hospital (LUH)</w:t>
      </w:r>
    </w:p>
    <w:p w14:paraId="305DFA0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Mayo University Hospital (MUH)</w:t>
      </w:r>
    </w:p>
    <w:p w14:paraId="204CC02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Merlin Park University Hospital (MPUH)</w:t>
      </w:r>
    </w:p>
    <w:p w14:paraId="3B7425B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Portiuncula University Hospital (PUH)</w:t>
      </w:r>
    </w:p>
    <w:p w14:paraId="71D84C0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Roscommon University Hospital (RUH)</w:t>
      </w:r>
    </w:p>
    <w:p w14:paraId="11EA75C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Sligo University Hospital (SUH) incorporating Our Lady’s Hospital Manorhamilton (OLHM)</w:t>
      </w:r>
    </w:p>
    <w:p w14:paraId="6AB4174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University Hospital Galway (UHG)</w:t>
      </w:r>
    </w:p>
    <w:p w14:paraId="19EEA29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72DF53F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Group's Academic Partner is NUI Galway.</w:t>
      </w:r>
    </w:p>
    <w:p w14:paraId="7CA5FD6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6F7593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 Saolta Group’s region covers one third of the land mass of Ireland, it provides health care to a population of 830,000, employs 10,653 staff (October 2019), and has a budget of €868 million. </w:t>
      </w:r>
    </w:p>
    <w:p w14:paraId="5A269C7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164DB3B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14:paraId="3DF41A3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 </w:t>
      </w:r>
    </w:p>
    <w:p w14:paraId="589EACA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Saolta University Health Care Group aims to meet its service plan targets. Its priority is to implement the national Clinical Care programmes across the Group and establish a performance management culture with the development of Key Performance Indicators.</w:t>
      </w:r>
    </w:p>
    <w:p w14:paraId="5A52B2D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1A323EB"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Vision</w:t>
      </w:r>
    </w:p>
    <w:p w14:paraId="5AA5AAF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vision is to be a leading academic Hospital Group providing excellent integrated patient-centred care delivered by skilled caring staff.</w:t>
      </w:r>
    </w:p>
    <w:p w14:paraId="209D83B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5D34BE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26142594"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Saolta Guiding Principles</w:t>
      </w:r>
    </w:p>
    <w:p w14:paraId="6DF262D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Care - Compassion - Trust - Learning</w:t>
      </w:r>
    </w:p>
    <w:p w14:paraId="06C8097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4320B94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guiding principles are to work in partnership with patients and other healthcare providers across the continuum of care to:</w:t>
      </w:r>
    </w:p>
    <w:p w14:paraId="5970D3D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87B293B"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Deliver high quality, safe, timely and equitable patient care by developing and ensuring sustainable clinical services to meet the needs of our population.</w:t>
      </w:r>
    </w:p>
    <w:p w14:paraId="07E9A5A3"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Deliver integrated services across the Saolta Group Hospitals, with clear lines of responsibility, accountability and authority, whilst maintaining individual hospital site integrity.</w:t>
      </w:r>
    </w:p>
    <w:p w14:paraId="29841297"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Continue to develop and improve our clinical services supported by education, research and innovation, in partnership with NUI Galway and other academic partners.</w:t>
      </w:r>
    </w:p>
    <w:p w14:paraId="4ACA036C"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Recruit, retain and develop highly-skilled multidisciplinary teams through support, engagement and empowerment.</w:t>
      </w:r>
    </w:p>
    <w:p w14:paraId="42F2148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C0A9E7D" w14:textId="77777777" w:rsidR="00E12BD9" w:rsidRDefault="00E12BD9" w:rsidP="00E12BD9">
      <w:pPr>
        <w:spacing w:after="0" w:line="240" w:lineRule="auto"/>
        <w:jc w:val="both"/>
        <w:rPr>
          <w:rFonts w:ascii="Arial" w:eastAsia="Times New Roman" w:hAnsi="Arial" w:cs="Arial"/>
          <w:b/>
          <w:sz w:val="20"/>
          <w:szCs w:val="20"/>
          <w:lang w:val="en-GB" w:eastAsia="en-GB"/>
        </w:rPr>
      </w:pPr>
    </w:p>
    <w:p w14:paraId="1E6F0FA2" w14:textId="77777777" w:rsidR="00E12BD9" w:rsidRDefault="00E12BD9" w:rsidP="00E12BD9">
      <w:pPr>
        <w:spacing w:after="0" w:line="240" w:lineRule="auto"/>
        <w:jc w:val="both"/>
        <w:rPr>
          <w:rFonts w:ascii="Arial" w:eastAsia="Times New Roman" w:hAnsi="Arial" w:cs="Arial"/>
          <w:b/>
          <w:sz w:val="20"/>
          <w:szCs w:val="20"/>
          <w:lang w:val="en-GB" w:eastAsia="en-GB"/>
        </w:rPr>
      </w:pPr>
    </w:p>
    <w:p w14:paraId="25B774BF"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Saolta Strategy 2019-2023</w:t>
      </w:r>
    </w:p>
    <w:p w14:paraId="0A06946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have developed a five year strategy which outlines the vision and framework for the Group’s strategic development from 2019 to 2023.</w:t>
      </w:r>
    </w:p>
    <w:p w14:paraId="39775B0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2EB025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We are committed to ensuring that our patients are at the centre of all service design, development and delivery. Over the five years of the strategy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14:paraId="7CC4A5C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1F19BB8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14:paraId="393B44D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1CBD08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While the tertiary referral centre for the Group is University Hospital Galway, it is essential that all our hospitals work more closely together in delivering services to address the challenges facing us across our region. </w:t>
      </w:r>
    </w:p>
    <w:p w14:paraId="730CAE20"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4880F9F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A key theme of our 5 year strategy is the development of Managed Clinical and Academic Networks.</w:t>
      </w:r>
    </w:p>
    <w:p w14:paraId="1702216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47C8D18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 </w:t>
      </w:r>
    </w:p>
    <w:p w14:paraId="7E1BD33A"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Vision</w:t>
      </w:r>
    </w:p>
    <w:p w14:paraId="0C83637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formation of the hospitals groups, which will transition to independent hospital trusts, will change how hospitals relate to each other and integrate with the academic sector. Over time, the Group will deliver:</w:t>
      </w:r>
    </w:p>
    <w:p w14:paraId="278A93D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A562B8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Higher quality service</w:t>
      </w:r>
    </w:p>
    <w:p w14:paraId="26D1532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standards of care</w:t>
      </w:r>
    </w:p>
    <w:p w14:paraId="4770E3D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access to care</w:t>
      </w:r>
    </w:p>
    <w:p w14:paraId="50E106D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Stronger leadership</w:t>
      </w:r>
    </w:p>
    <w:p w14:paraId="63D15E1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7213AAB0"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Greater integration between the healthcare agenda and the teaching, training, research and innovation agenda</w:t>
      </w:r>
    </w:p>
    <w:p w14:paraId="77881852"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p>
    <w:p w14:paraId="3B1A01B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b/>
          <w:sz w:val="20"/>
          <w:szCs w:val="20"/>
          <w:lang w:val="en-GB" w:eastAsia="en-GB"/>
        </w:rPr>
        <w:t xml:space="preserve">Letterkenny University Hospital </w:t>
      </w:r>
      <w:r w:rsidRPr="00E12BD9">
        <w:rPr>
          <w:rFonts w:ascii="Arial" w:eastAsia="Times New Roman" w:hAnsi="Arial" w:cs="Arial"/>
          <w:sz w:val="20"/>
          <w:szCs w:val="20"/>
          <w:lang w:val="en-GB" w:eastAsia="en-GB"/>
        </w:rPr>
        <w:t xml:space="preserve">is part of the Saolta University Healthcare Group and is the second-largest Model 3 hospital in the HSE network with approximately 24,000 in-patients per annum. </w:t>
      </w:r>
    </w:p>
    <w:p w14:paraId="6FBFBF89"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2A23DB9D"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3CACDECB"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Letterkenny University Hospital </w:t>
      </w:r>
    </w:p>
    <w:p w14:paraId="4EEBD388"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481EF4AD" w14:textId="77777777" w:rsidR="00E12BD9" w:rsidRDefault="00E12BD9" w:rsidP="006D22D2">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Lette</w:t>
      </w:r>
      <w:r>
        <w:rPr>
          <w:rFonts w:ascii="Arial" w:eastAsia="Times New Roman" w:hAnsi="Arial" w:cs="Arial"/>
          <w:sz w:val="20"/>
          <w:szCs w:val="20"/>
          <w:lang w:val="en-GB" w:eastAsia="en-GB"/>
        </w:rPr>
        <w:t xml:space="preserve">rkenny </w:t>
      </w:r>
      <w:r w:rsidR="006D22D2">
        <w:rPr>
          <w:rFonts w:ascii="Arial" w:eastAsia="Times New Roman" w:hAnsi="Arial" w:cs="Arial"/>
          <w:sz w:val="20"/>
          <w:szCs w:val="20"/>
          <w:lang w:val="en-GB" w:eastAsia="en-GB"/>
        </w:rPr>
        <w:t>University</w:t>
      </w:r>
      <w:r>
        <w:rPr>
          <w:rFonts w:ascii="Arial" w:eastAsia="Times New Roman" w:hAnsi="Arial" w:cs="Arial"/>
          <w:sz w:val="20"/>
          <w:szCs w:val="20"/>
          <w:lang w:val="en-GB" w:eastAsia="en-GB"/>
        </w:rPr>
        <w:t xml:space="preserve"> Hospital is a 330</w:t>
      </w:r>
      <w:r w:rsidRPr="00E12BD9">
        <w:rPr>
          <w:rFonts w:ascii="Arial" w:eastAsia="Times New Roman" w:hAnsi="Arial" w:cs="Arial"/>
          <w:sz w:val="20"/>
          <w:szCs w:val="20"/>
          <w:lang w:val="en-GB" w:eastAsia="en-GB"/>
        </w:rPr>
        <w:t xml:space="preserve"> bedded </w:t>
      </w:r>
      <w:r>
        <w:rPr>
          <w:rFonts w:ascii="Arial" w:eastAsia="Times New Roman" w:hAnsi="Arial" w:cs="Arial"/>
          <w:sz w:val="20"/>
          <w:szCs w:val="20"/>
          <w:lang w:val="en-GB" w:eastAsia="en-GB"/>
        </w:rPr>
        <w:t>University</w:t>
      </w:r>
      <w:r w:rsidRPr="00E12BD9">
        <w:rPr>
          <w:rFonts w:ascii="Arial" w:eastAsia="Times New Roman" w:hAnsi="Arial" w:cs="Arial"/>
          <w:sz w:val="20"/>
          <w:szCs w:val="20"/>
          <w:lang w:val="en-GB" w:eastAsia="en-GB"/>
        </w:rPr>
        <w:t xml:space="preserve"> Hospital, which provides a wide range of acute hospital services on an in-patient, day-case and out-patient basis, services include Intensive Care, Coronary Care, General Medicine, Geriatric care, Renal Dialysis, General Surgical and Urology, Obstetrics and Gynaecology, Paediatric care (including a Neo-Natal Unit), Orthopaedics and  Consultant-led Oncology and Haematology Services.</w:t>
      </w:r>
    </w:p>
    <w:p w14:paraId="669D7CBE" w14:textId="77777777" w:rsidR="006D22D2" w:rsidRPr="00E12BD9" w:rsidRDefault="006D22D2" w:rsidP="006D22D2">
      <w:pPr>
        <w:spacing w:after="0" w:line="240" w:lineRule="auto"/>
        <w:jc w:val="both"/>
        <w:rPr>
          <w:rFonts w:ascii="Arial" w:eastAsia="Times New Roman" w:hAnsi="Arial" w:cs="Arial"/>
          <w:sz w:val="20"/>
          <w:szCs w:val="20"/>
          <w:lang w:val="en-GB" w:eastAsia="en-GB"/>
        </w:rPr>
      </w:pPr>
    </w:p>
    <w:p w14:paraId="42C77471" w14:textId="77777777" w:rsidR="00E12BD9" w:rsidRDefault="00E12BD9" w:rsidP="006D22D2">
      <w:pPr>
        <w:shd w:val="clear" w:color="auto" w:fill="FFFFFF"/>
        <w:spacing w:after="15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There is a full range of clinical and non-clinical support services available on-site including four main theatres, CSSD Department, Pathology/ Laboratory Department</w:t>
      </w:r>
      <w:r w:rsidR="006D22D2">
        <w:rPr>
          <w:rFonts w:ascii="Arial" w:eastAsia="Times New Roman" w:hAnsi="Arial" w:cs="Arial"/>
          <w:sz w:val="20"/>
          <w:szCs w:val="20"/>
          <w:lang w:val="en-GB" w:eastAsia="en-GB"/>
        </w:rPr>
        <w:t>, Radiology Department including Interventional Radiology</w:t>
      </w:r>
      <w:r w:rsidRPr="00E12BD9">
        <w:rPr>
          <w:rFonts w:ascii="Arial" w:eastAsia="Times New Roman" w:hAnsi="Arial" w:cs="Arial"/>
          <w:sz w:val="20"/>
          <w:szCs w:val="20"/>
          <w:lang w:val="en-GB" w:eastAsia="en-GB"/>
        </w:rPr>
        <w:t xml:space="preserve"> and a Pharmacy Department. Part of the main Letterkenny </w:t>
      </w:r>
      <w:r w:rsidR="006D22D2">
        <w:rPr>
          <w:rFonts w:ascii="Arial" w:eastAsia="Times New Roman" w:hAnsi="Arial" w:cs="Arial"/>
          <w:sz w:val="20"/>
          <w:szCs w:val="20"/>
          <w:lang w:val="en-GB" w:eastAsia="en-GB"/>
        </w:rPr>
        <w:t xml:space="preserve">University </w:t>
      </w:r>
      <w:r w:rsidRPr="00E12BD9">
        <w:rPr>
          <w:rFonts w:ascii="Arial" w:eastAsia="Times New Roman" w:hAnsi="Arial" w:cs="Arial"/>
          <w:sz w:val="20"/>
          <w:szCs w:val="20"/>
          <w:lang w:val="en-GB" w:eastAsia="en-GB"/>
        </w:rPr>
        <w:t>Hospital building includes an Acute Psychiatric Inpatien</w:t>
      </w:r>
      <w:r w:rsidR="006D22D2">
        <w:rPr>
          <w:rFonts w:ascii="Arial" w:eastAsia="Times New Roman" w:hAnsi="Arial" w:cs="Arial"/>
          <w:sz w:val="20"/>
          <w:szCs w:val="20"/>
          <w:lang w:val="en-GB" w:eastAsia="en-GB"/>
        </w:rPr>
        <w:t xml:space="preserve">t Unit. </w:t>
      </w:r>
    </w:p>
    <w:p w14:paraId="78CAF0B5" w14:textId="77777777" w:rsidR="006D22D2" w:rsidRDefault="006D22D2" w:rsidP="006D22D2">
      <w:pPr>
        <w:shd w:val="clear" w:color="auto" w:fill="FFFFFF"/>
        <w:spacing w:after="150" w:line="240" w:lineRule="auto"/>
        <w:jc w:val="both"/>
        <w:rPr>
          <w:rFonts w:ascii="Arial" w:eastAsia="Times New Roman" w:hAnsi="Arial" w:cs="Arial"/>
          <w:sz w:val="20"/>
          <w:szCs w:val="20"/>
          <w:lang w:val="en-GB" w:eastAsia="en-GB"/>
        </w:rPr>
      </w:pPr>
    </w:p>
    <w:p w14:paraId="1C8151E8" w14:textId="77777777" w:rsidR="006D22D2" w:rsidRDefault="00E5534C" w:rsidP="006D22D2">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lastRenderedPageBreak/>
        <w:t xml:space="preserve">Department of </w:t>
      </w:r>
      <w:r w:rsidR="00620B85">
        <w:rPr>
          <w:rFonts w:ascii="Arial" w:eastAsia="Times New Roman" w:hAnsi="Arial" w:cs="Times New Roman"/>
          <w:b/>
          <w:sz w:val="24"/>
          <w:szCs w:val="24"/>
          <w:lang w:val="en-GB"/>
        </w:rPr>
        <w:t>Trauma and Orthopaedics</w:t>
      </w:r>
    </w:p>
    <w:p w14:paraId="282FF864" w14:textId="77777777" w:rsidR="006D22D2" w:rsidRPr="006D22D2" w:rsidRDefault="006D22D2" w:rsidP="006D22D2">
      <w:pPr>
        <w:keepNext/>
        <w:spacing w:after="0" w:line="240" w:lineRule="auto"/>
        <w:jc w:val="both"/>
        <w:outlineLvl w:val="0"/>
        <w:rPr>
          <w:rFonts w:ascii="Arial" w:eastAsia="Times New Roman" w:hAnsi="Arial" w:cs="Times New Roman"/>
          <w:b/>
          <w:sz w:val="24"/>
          <w:szCs w:val="24"/>
          <w:lang w:val="en-GB"/>
        </w:rPr>
      </w:pPr>
    </w:p>
    <w:p w14:paraId="5358D644" w14:textId="77777777" w:rsidR="00620B85" w:rsidRPr="00620B85" w:rsidRDefault="00620B85" w:rsidP="00620B85">
      <w:pPr>
        <w:keepNext/>
        <w:spacing w:after="0" w:line="240" w:lineRule="auto"/>
        <w:jc w:val="both"/>
        <w:outlineLvl w:val="0"/>
        <w:rPr>
          <w:rFonts w:ascii="Arial" w:eastAsia="Times New Roman" w:hAnsi="Arial" w:cs="Times New Roman"/>
          <w:sz w:val="20"/>
          <w:szCs w:val="24"/>
          <w:lang w:val="en-GB"/>
        </w:rPr>
      </w:pPr>
      <w:r w:rsidRPr="00620B85">
        <w:rPr>
          <w:rFonts w:ascii="Arial" w:eastAsia="Times New Roman" w:hAnsi="Arial" w:cs="Times New Roman"/>
          <w:sz w:val="20"/>
          <w:szCs w:val="24"/>
          <w:lang w:val="en-GB"/>
        </w:rPr>
        <w:t xml:space="preserve">The Department of Trauma and Orthopaedic Surgery provide acute trauma care 24/7 for the catchment population of around 150,000. </w:t>
      </w:r>
    </w:p>
    <w:p w14:paraId="1220C28D" w14:textId="77777777" w:rsidR="00620B85" w:rsidRDefault="00620B85" w:rsidP="00620B85">
      <w:pPr>
        <w:keepNext/>
        <w:spacing w:after="0" w:line="240" w:lineRule="auto"/>
        <w:jc w:val="both"/>
        <w:outlineLvl w:val="0"/>
        <w:rPr>
          <w:rFonts w:ascii="Arial" w:eastAsia="Times New Roman" w:hAnsi="Arial" w:cs="Times New Roman"/>
          <w:sz w:val="20"/>
          <w:szCs w:val="24"/>
          <w:lang w:val="en-GB"/>
        </w:rPr>
      </w:pPr>
    </w:p>
    <w:p w14:paraId="0DD45884" w14:textId="77777777" w:rsidR="00620B85" w:rsidRDefault="00620B85" w:rsidP="00620B85">
      <w:pPr>
        <w:keepNext/>
        <w:spacing w:after="0" w:line="240" w:lineRule="auto"/>
        <w:jc w:val="both"/>
        <w:outlineLvl w:val="0"/>
        <w:rPr>
          <w:rFonts w:ascii="Arial" w:eastAsia="Times New Roman" w:hAnsi="Arial" w:cs="Times New Roman"/>
          <w:sz w:val="20"/>
          <w:szCs w:val="24"/>
          <w:lang w:val="en-GB"/>
        </w:rPr>
      </w:pPr>
      <w:r w:rsidRPr="00620B85">
        <w:rPr>
          <w:rFonts w:ascii="Arial" w:eastAsia="Times New Roman" w:hAnsi="Arial" w:cs="Times New Roman"/>
          <w:sz w:val="20"/>
          <w:szCs w:val="24"/>
          <w:lang w:val="en-GB"/>
        </w:rPr>
        <w:t xml:space="preserve">This service is currently provided by a complement of four consultants, </w:t>
      </w:r>
      <w:r>
        <w:rPr>
          <w:rFonts w:ascii="Arial" w:eastAsia="Times New Roman" w:hAnsi="Arial" w:cs="Times New Roman"/>
          <w:sz w:val="20"/>
          <w:szCs w:val="24"/>
          <w:lang w:val="en-GB"/>
        </w:rPr>
        <w:t>5 Registrars and 7 Senior House Officers who c</w:t>
      </w:r>
      <w:r w:rsidRPr="00620B85">
        <w:rPr>
          <w:rFonts w:ascii="Arial" w:eastAsia="Times New Roman" w:hAnsi="Arial" w:cs="Times New Roman"/>
          <w:sz w:val="20"/>
          <w:szCs w:val="24"/>
          <w:lang w:val="en-GB"/>
        </w:rPr>
        <w:t xml:space="preserve">are for all forms of trauma apart from specialized sections like complex hand, spine and pelvis/acetabular trauma is provided. </w:t>
      </w:r>
    </w:p>
    <w:p w14:paraId="265489C2" w14:textId="77777777" w:rsidR="00620B85" w:rsidRDefault="00620B85" w:rsidP="00620B85">
      <w:pPr>
        <w:keepNext/>
        <w:spacing w:after="0" w:line="240" w:lineRule="auto"/>
        <w:jc w:val="both"/>
        <w:outlineLvl w:val="0"/>
        <w:rPr>
          <w:rFonts w:ascii="Arial" w:eastAsia="Times New Roman" w:hAnsi="Arial" w:cs="Times New Roman"/>
          <w:sz w:val="20"/>
          <w:szCs w:val="24"/>
          <w:lang w:val="en-GB"/>
        </w:rPr>
      </w:pPr>
    </w:p>
    <w:p w14:paraId="1435AE19" w14:textId="77777777" w:rsidR="00620B85" w:rsidRPr="00620B85" w:rsidRDefault="00620B85" w:rsidP="00620B85">
      <w:pPr>
        <w:keepNext/>
        <w:spacing w:after="0" w:line="240" w:lineRule="auto"/>
        <w:jc w:val="both"/>
        <w:outlineLvl w:val="0"/>
        <w:rPr>
          <w:rFonts w:ascii="Arial" w:eastAsia="Times New Roman" w:hAnsi="Arial" w:cs="Times New Roman"/>
          <w:sz w:val="20"/>
          <w:szCs w:val="24"/>
          <w:lang w:val="en-GB"/>
        </w:rPr>
      </w:pPr>
      <w:r w:rsidRPr="00620B85">
        <w:rPr>
          <w:rFonts w:ascii="Arial" w:eastAsia="Times New Roman" w:hAnsi="Arial" w:cs="Times New Roman"/>
          <w:sz w:val="20"/>
          <w:szCs w:val="24"/>
          <w:lang w:val="en-GB"/>
        </w:rPr>
        <w:t>Orthopaedic services offered are joint replacements, (hip, knee and shoulder), knee arthroscopic procedures including ACL reconstruction/ MPFL reconstruction and meniscal repair, shoulder arthroscopy and open surgery for all forms of trauma/degeneration, basic foot and ankle surgery, hand surgery for primary Dupuytrens, carpal tunnel and trigger fingers and other minor surgical procedures</w:t>
      </w:r>
    </w:p>
    <w:p w14:paraId="6A64A7A8" w14:textId="77777777" w:rsidR="00620B85" w:rsidRDefault="00620B85" w:rsidP="00620B85">
      <w:pPr>
        <w:keepNext/>
        <w:spacing w:after="0" w:line="240" w:lineRule="auto"/>
        <w:jc w:val="both"/>
        <w:outlineLvl w:val="0"/>
        <w:rPr>
          <w:rFonts w:ascii="Arial" w:eastAsia="Times New Roman" w:hAnsi="Arial" w:cs="Times New Roman"/>
          <w:sz w:val="20"/>
          <w:szCs w:val="24"/>
          <w:lang w:val="en-GB"/>
        </w:rPr>
      </w:pPr>
    </w:p>
    <w:p w14:paraId="3280C92D" w14:textId="77777777" w:rsidR="00620B85" w:rsidRPr="00620B85" w:rsidRDefault="00620B85" w:rsidP="00620B85">
      <w:pPr>
        <w:keepNext/>
        <w:spacing w:after="0" w:line="240" w:lineRule="auto"/>
        <w:jc w:val="both"/>
        <w:outlineLvl w:val="0"/>
        <w:rPr>
          <w:rFonts w:ascii="Arial" w:eastAsia="Times New Roman" w:hAnsi="Arial" w:cs="Times New Roman"/>
          <w:sz w:val="20"/>
          <w:szCs w:val="24"/>
          <w:lang w:val="en-GB"/>
        </w:rPr>
      </w:pPr>
      <w:r w:rsidRPr="00620B85">
        <w:rPr>
          <w:rFonts w:ascii="Arial" w:eastAsia="Times New Roman" w:hAnsi="Arial" w:cs="Times New Roman"/>
          <w:sz w:val="20"/>
          <w:szCs w:val="24"/>
          <w:lang w:val="en-GB"/>
        </w:rPr>
        <w:t>Letterkenny University Hospital is linked in with the national trauma and orthopaedic programme and the more complex injuries/ conditions have a defined pathway for tertiary referral.</w:t>
      </w:r>
    </w:p>
    <w:p w14:paraId="11B28177" w14:textId="77777777" w:rsidR="00620B85" w:rsidRDefault="00620B85" w:rsidP="00620B85">
      <w:pPr>
        <w:keepNext/>
        <w:spacing w:after="0" w:line="240" w:lineRule="auto"/>
        <w:jc w:val="both"/>
        <w:outlineLvl w:val="0"/>
        <w:rPr>
          <w:rFonts w:ascii="Arial" w:eastAsia="Times New Roman" w:hAnsi="Arial" w:cs="Times New Roman"/>
          <w:sz w:val="20"/>
          <w:szCs w:val="24"/>
          <w:lang w:val="en-GB"/>
        </w:rPr>
      </w:pPr>
    </w:p>
    <w:p w14:paraId="081D7BF7" w14:textId="77777777" w:rsidR="00C729E0" w:rsidRDefault="00620B85" w:rsidP="00620B85">
      <w:pPr>
        <w:keepNext/>
        <w:spacing w:after="0" w:line="240" w:lineRule="auto"/>
        <w:jc w:val="both"/>
        <w:outlineLvl w:val="0"/>
        <w:rPr>
          <w:rFonts w:ascii="Arial" w:eastAsia="Times New Roman" w:hAnsi="Arial" w:cs="Times New Roman"/>
          <w:b/>
          <w:sz w:val="24"/>
          <w:szCs w:val="24"/>
          <w:lang w:val="en-GB"/>
        </w:rPr>
      </w:pPr>
      <w:r w:rsidRPr="00620B85">
        <w:rPr>
          <w:rFonts w:ascii="Arial" w:eastAsia="Times New Roman" w:hAnsi="Arial" w:cs="Times New Roman"/>
          <w:sz w:val="20"/>
          <w:szCs w:val="24"/>
          <w:lang w:val="en-GB"/>
        </w:rPr>
        <w:t>Letterkenny University Hospital is part of the national fragility fracture program and hope, in the near future when the joint registry nurse is appointed, to be part of the national joint register.</w:t>
      </w:r>
    </w:p>
    <w:p w14:paraId="6E295C03" w14:textId="77777777" w:rsidR="00620B85" w:rsidRDefault="00620B85" w:rsidP="00E12BD9">
      <w:pPr>
        <w:keepNext/>
        <w:spacing w:after="0" w:line="240" w:lineRule="auto"/>
        <w:jc w:val="both"/>
        <w:outlineLvl w:val="0"/>
        <w:rPr>
          <w:rFonts w:ascii="Arial" w:eastAsia="Times New Roman" w:hAnsi="Arial" w:cs="Times New Roman"/>
          <w:b/>
          <w:sz w:val="24"/>
          <w:szCs w:val="24"/>
          <w:lang w:val="en-GB"/>
        </w:rPr>
      </w:pPr>
    </w:p>
    <w:p w14:paraId="43BBE284" w14:textId="77777777" w:rsidR="00620B85" w:rsidRDefault="00620B85" w:rsidP="00E12BD9">
      <w:pPr>
        <w:keepNext/>
        <w:spacing w:after="0" w:line="240" w:lineRule="auto"/>
        <w:jc w:val="both"/>
        <w:outlineLvl w:val="0"/>
        <w:rPr>
          <w:rFonts w:ascii="Arial" w:eastAsia="Times New Roman" w:hAnsi="Arial" w:cs="Times New Roman"/>
          <w:b/>
          <w:sz w:val="24"/>
          <w:szCs w:val="24"/>
          <w:lang w:val="en-GB"/>
        </w:rPr>
      </w:pPr>
    </w:p>
    <w:p w14:paraId="19EDAC82" w14:textId="77777777" w:rsidR="00E12BD9" w:rsidRPr="00E12BD9" w:rsidRDefault="006D22D2" w:rsidP="00E12BD9">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NCHD </w:t>
      </w:r>
      <w:r w:rsidR="00E12BD9" w:rsidRPr="00E12BD9">
        <w:rPr>
          <w:rFonts w:ascii="Arial" w:eastAsia="Times New Roman" w:hAnsi="Arial" w:cs="Times New Roman"/>
          <w:b/>
          <w:sz w:val="24"/>
          <w:szCs w:val="24"/>
          <w:lang w:val="en-GB"/>
        </w:rPr>
        <w:t>Standard Duties and Responsibilities</w:t>
      </w:r>
    </w:p>
    <w:p w14:paraId="4DFFC6CD"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687A7C90" w14:textId="77777777"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NCHD’s standard duties and responsibilities include, as directed by the Consultant / Clinical Director / Employer to, inter alia:</w:t>
      </w:r>
    </w:p>
    <w:p w14:paraId="3E099533" w14:textId="77777777" w:rsidR="00E12BD9" w:rsidRPr="00E12BD9" w:rsidRDefault="00E12BD9" w:rsidP="00E12BD9">
      <w:pPr>
        <w:spacing w:after="0" w:line="240" w:lineRule="auto"/>
        <w:ind w:left="720"/>
        <w:jc w:val="both"/>
        <w:rPr>
          <w:rFonts w:ascii="Arial" w:eastAsia="Times New Roman" w:hAnsi="Arial" w:cs="Times New Roman"/>
          <w:sz w:val="20"/>
          <w:szCs w:val="24"/>
          <w:lang w:val="en-GB"/>
        </w:rPr>
      </w:pPr>
    </w:p>
    <w:p w14:paraId="10ADAD28"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participate as a member of a multi-disciplinary team in the provision of medical care to patients;</w:t>
      </w:r>
    </w:p>
    <w:p w14:paraId="71D89306"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1C8D2F90"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diagnose and treat patients; </w:t>
      </w:r>
    </w:p>
    <w:p w14:paraId="6F666DD1"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478FE835"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ensure that duties and functions are undertaken in a manner that prioritises the safety and well being of patients;</w:t>
      </w:r>
    </w:p>
    <w:p w14:paraId="76CC07B3"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0C50650D"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assess patients on admission and/or discharge as required and write detailed reports in the case notes;  </w:t>
      </w:r>
    </w:p>
    <w:p w14:paraId="0341637E"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7E927BFC"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order and interpret diagnostic tests;</w:t>
      </w:r>
    </w:p>
    <w:p w14:paraId="54AB80FD"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52803FDA"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initiate and monitor treatment; </w:t>
      </w:r>
    </w:p>
    <w:p w14:paraId="1D1E7526"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3480FC4F"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communicate effectively with patients and clients;</w:t>
      </w:r>
    </w:p>
    <w:p w14:paraId="535C43CE"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15A21F43"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further progress knowledge of diagnosis and management; </w:t>
      </w:r>
    </w:p>
    <w:p w14:paraId="079616A0"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23EE9DF7"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participate in multidisciplinary clinical audit and proactive risk management and facilitate production of all data/information for same; </w:t>
      </w:r>
    </w:p>
    <w:p w14:paraId="142EDC28"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64C0B2AF"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arrangements as are put into place to verify the delivery of all contractual commitments;</w:t>
      </w:r>
    </w:p>
    <w:p w14:paraId="4F93E0B4"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77204044"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measures as are necessary to ensure compliance with the requirements of the European Working Time Directive and related Irish legislation;</w:t>
      </w:r>
    </w:p>
    <w:p w14:paraId="2B4E599B"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77D04E2C"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co-operate with investigations, enquiries or audit relating to the provision of health services; </w:t>
      </w:r>
    </w:p>
    <w:p w14:paraId="0D53D70A"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646D4138"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lastRenderedPageBreak/>
        <w:t>comply with statutory and regulatory requirements, agreed training principles</w:t>
      </w:r>
      <w:r w:rsidRPr="00E12BD9">
        <w:rPr>
          <w:vertAlign w:val="superscript"/>
          <w:lang w:val="en-GB"/>
        </w:rPr>
        <w:footnoteReference w:id="1"/>
      </w:r>
      <w:r w:rsidRPr="00E12BD9">
        <w:rPr>
          <w:rFonts w:ascii="Arial" w:eastAsia="Times New Roman" w:hAnsi="Arial" w:cs="Times New Roman"/>
          <w:sz w:val="20"/>
          <w:szCs w:val="24"/>
          <w:lang w:val="en-GB"/>
        </w:rPr>
        <w:t xml:space="preserve"> where appropriate, corporate policies and procedures and human resource policies and procedures (e.g. Dignity at Work, Trust in Care, Flexible Working Scheme etc.); </w:t>
      </w:r>
    </w:p>
    <w:p w14:paraId="4E6BF016" w14:textId="77777777"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14:paraId="1DE667AB"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 xml:space="preserve">attend at NCHD Induction. Induction training before the commencement of the employment relationship is not paid, while induction training during the currency of the employment relationship is paid; </w:t>
      </w:r>
    </w:p>
    <w:p w14:paraId="2B23BF46" w14:textId="77777777"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14:paraId="156DA418"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perform other duties as required by the supervising Consultant / Clinical Director / Employer.</w:t>
      </w:r>
    </w:p>
    <w:p w14:paraId="2A3CE105"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p>
    <w:p w14:paraId="7C914E69"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Additional duties and responsibilities related to this post may be set out in the job description as issued by the Employer.</w:t>
      </w:r>
    </w:p>
    <w:p w14:paraId="6D7A0AED"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p>
    <w:p w14:paraId="7E021ECE" w14:textId="77777777"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 is entitled during his/her employment to regular review of his/her performance - including MET/Research performance – by and together with the designated supervisory Consultant / Clinical Director / Head of Academic Department.</w:t>
      </w:r>
    </w:p>
    <w:p w14:paraId="3264B6A7"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5CBFFB35" w14:textId="77777777" w:rsid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When carrying out these duties, the NCHD shall abide by the Irish Medical Council ‘Guide to Ethical Conduct and Behaviour’ (copy available directly from the Medical Council or at </w:t>
      </w:r>
      <w:hyperlink r:id="rId8" w:history="1">
        <w:r w:rsidRPr="00E12BD9">
          <w:rPr>
            <w:rFonts w:ascii="Times New Roman" w:eastAsia="Times New Roman" w:hAnsi="Times New Roman" w:cs="Times New Roman"/>
            <w:color w:val="0000FF"/>
            <w:sz w:val="20"/>
            <w:szCs w:val="24"/>
            <w:u w:val="single"/>
            <w:lang w:val="en-GB"/>
          </w:rPr>
          <w:t>www.medicalcouncil.ie</w:t>
        </w:r>
      </w:hyperlink>
      <w:r w:rsidRPr="00E12BD9">
        <w:rPr>
          <w:rFonts w:ascii="Arial" w:eastAsia="Times New Roman" w:hAnsi="Arial" w:cs="Times New Roman"/>
          <w:sz w:val="20"/>
          <w:szCs w:val="24"/>
          <w:lang w:val="en-GB"/>
        </w:rPr>
        <w:t>).</w:t>
      </w:r>
    </w:p>
    <w:p w14:paraId="4C151897" w14:textId="77777777" w:rsidR="006D22D2" w:rsidRDefault="006D22D2" w:rsidP="00E12BD9">
      <w:pPr>
        <w:spacing w:after="0" w:line="240" w:lineRule="auto"/>
        <w:jc w:val="both"/>
        <w:rPr>
          <w:rFonts w:ascii="Arial" w:eastAsia="Times New Roman" w:hAnsi="Arial" w:cs="Times New Roman"/>
          <w:sz w:val="20"/>
          <w:szCs w:val="24"/>
          <w:lang w:val="en-GB"/>
        </w:rPr>
      </w:pPr>
    </w:p>
    <w:p w14:paraId="605D27C1" w14:textId="77777777" w:rsidR="006D22D2" w:rsidRDefault="006D22D2" w:rsidP="00E12BD9">
      <w:pPr>
        <w:spacing w:after="0" w:line="240" w:lineRule="auto"/>
        <w:jc w:val="both"/>
        <w:rPr>
          <w:rFonts w:ascii="Arial" w:eastAsia="Times New Roman" w:hAnsi="Arial" w:cs="Times New Roman"/>
          <w:sz w:val="20"/>
          <w:szCs w:val="24"/>
          <w:lang w:val="en-GB"/>
        </w:rPr>
      </w:pPr>
    </w:p>
    <w:p w14:paraId="1E539849" w14:textId="77777777" w:rsidR="00531367" w:rsidRPr="003B7510" w:rsidRDefault="00531367" w:rsidP="00531367">
      <w:pPr>
        <w:keepNext/>
        <w:spacing w:after="0" w:line="240" w:lineRule="auto"/>
        <w:jc w:val="both"/>
        <w:outlineLvl w:val="0"/>
        <w:rPr>
          <w:rFonts w:ascii="Arial" w:eastAsia="Times New Roman" w:hAnsi="Arial" w:cs="Arial"/>
          <w:b/>
          <w:sz w:val="24"/>
          <w:szCs w:val="24"/>
          <w:lang w:val="en-GB"/>
        </w:rPr>
      </w:pPr>
      <w:r w:rsidRPr="003B7510">
        <w:rPr>
          <w:rFonts w:ascii="Arial" w:eastAsia="Times New Roman" w:hAnsi="Arial" w:cs="Arial"/>
          <w:b/>
          <w:sz w:val="24"/>
          <w:szCs w:val="24"/>
          <w:lang w:val="en-GB"/>
        </w:rPr>
        <w:t>Yearly Salary</w:t>
      </w:r>
    </w:p>
    <w:p w14:paraId="0805F733" w14:textId="77777777" w:rsidR="00531367" w:rsidRPr="003B7510" w:rsidRDefault="00531367" w:rsidP="00531367">
      <w:pPr>
        <w:spacing w:after="0" w:line="240" w:lineRule="auto"/>
        <w:jc w:val="both"/>
        <w:rPr>
          <w:rFonts w:ascii="Arial" w:eastAsia="Times New Roman" w:hAnsi="Arial" w:cs="Arial"/>
          <w:sz w:val="20"/>
          <w:szCs w:val="24"/>
          <w:lang w:val="en-GB"/>
        </w:rPr>
      </w:pPr>
    </w:p>
    <w:p w14:paraId="67E9085C" w14:textId="77777777" w:rsidR="00531367" w:rsidRDefault="00531367" w:rsidP="00531367">
      <w:pPr>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Senior House Officer</w:t>
      </w:r>
    </w:p>
    <w:p w14:paraId="71F2B166" w14:textId="77777777" w:rsidR="00531367" w:rsidRDefault="00531367" w:rsidP="00531367">
      <w:pPr>
        <w:spacing w:after="0" w:line="240" w:lineRule="auto"/>
        <w:jc w:val="both"/>
        <w:rPr>
          <w:rFonts w:ascii="Arial" w:eastAsia="Times New Roman" w:hAnsi="Arial" w:cs="Arial"/>
          <w:sz w:val="20"/>
          <w:szCs w:val="20"/>
          <w:lang w:val="en-GB"/>
        </w:rPr>
      </w:pPr>
    </w:p>
    <w:p w14:paraId="068C7930" w14:textId="77777777" w:rsidR="00531367" w:rsidRDefault="00531367" w:rsidP="00531367">
      <w:pPr>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w:t>
      </w:r>
      <w:r>
        <w:rPr>
          <w:rFonts w:ascii="Arial" w:hAnsi="Arial" w:cs="Arial"/>
          <w:sz w:val="20"/>
          <w:szCs w:val="20"/>
        </w:rPr>
        <w:t>54,203 €56,868 €60,899 €63,554 €68,891 €71,544 €74,133</w:t>
      </w:r>
    </w:p>
    <w:p w14:paraId="5611E5E7" w14:textId="77777777" w:rsidR="00531367" w:rsidRDefault="00531367" w:rsidP="00531367">
      <w:pPr>
        <w:spacing w:after="0" w:line="240" w:lineRule="auto"/>
        <w:jc w:val="both"/>
        <w:rPr>
          <w:rFonts w:ascii="Arial" w:eastAsia="Times New Roman" w:hAnsi="Arial" w:cs="Arial"/>
          <w:sz w:val="20"/>
          <w:szCs w:val="20"/>
          <w:lang w:val="en-GB"/>
        </w:rPr>
      </w:pPr>
    </w:p>
    <w:p w14:paraId="07ADA2FE" w14:textId="77777777" w:rsidR="00531367" w:rsidRDefault="00531367" w:rsidP="00531367">
      <w:pPr>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Registrar</w:t>
      </w:r>
    </w:p>
    <w:p w14:paraId="2B52961C" w14:textId="77777777" w:rsidR="00531367" w:rsidRDefault="00531367" w:rsidP="00531367">
      <w:pPr>
        <w:spacing w:after="0" w:line="240" w:lineRule="auto"/>
        <w:jc w:val="both"/>
        <w:rPr>
          <w:rFonts w:ascii="Arial" w:eastAsia="Times New Roman" w:hAnsi="Arial" w:cs="Arial"/>
          <w:sz w:val="20"/>
          <w:szCs w:val="20"/>
          <w:lang w:val="en-GB"/>
        </w:rPr>
      </w:pPr>
    </w:p>
    <w:p w14:paraId="1A556D9E" w14:textId="77777777" w:rsidR="00531367" w:rsidRDefault="00531367" w:rsidP="00531367">
      <w:pPr>
        <w:spacing w:after="0" w:line="240" w:lineRule="auto"/>
        <w:jc w:val="both"/>
        <w:rPr>
          <w:rFonts w:ascii="Arial" w:eastAsia="Times New Roman" w:hAnsi="Arial" w:cs="Arial"/>
          <w:sz w:val="20"/>
          <w:szCs w:val="20"/>
          <w:lang w:val="en-GB"/>
        </w:rPr>
      </w:pPr>
      <w:r>
        <w:rPr>
          <w:rFonts w:ascii="Arial" w:hAnsi="Arial" w:cs="Arial"/>
          <w:sz w:val="20"/>
          <w:szCs w:val="20"/>
        </w:rPr>
        <w:t>€68,891 €71,544 €74,133 €76,039 €78,577 €81,126</w:t>
      </w:r>
    </w:p>
    <w:p w14:paraId="5A5AF7C6" w14:textId="77777777" w:rsidR="00531367" w:rsidRDefault="00531367" w:rsidP="00531367"/>
    <w:p w14:paraId="6EE05BAA" w14:textId="77777777" w:rsidR="00531367" w:rsidRDefault="00531367" w:rsidP="00531367">
      <w:pPr>
        <w:keepNext/>
        <w:spacing w:after="0" w:line="240" w:lineRule="auto"/>
        <w:jc w:val="both"/>
        <w:outlineLvl w:val="0"/>
        <w:rPr>
          <w:rFonts w:ascii="Arial" w:eastAsia="Times New Roman" w:hAnsi="Arial" w:cs="Times New Roman"/>
          <w:b/>
          <w:sz w:val="24"/>
          <w:szCs w:val="24"/>
          <w:lang w:val="en-GB"/>
        </w:rPr>
      </w:pPr>
      <w:r w:rsidRPr="00962834">
        <w:rPr>
          <w:rFonts w:ascii="Arial" w:eastAsia="Times New Roman" w:hAnsi="Arial" w:cs="Times New Roman"/>
          <w:b/>
          <w:sz w:val="24"/>
          <w:szCs w:val="24"/>
          <w:lang w:val="en-GB"/>
        </w:rPr>
        <w:t>Contracts</w:t>
      </w:r>
    </w:p>
    <w:p w14:paraId="302988D0" w14:textId="77777777" w:rsidR="00531367" w:rsidRDefault="00531367" w:rsidP="00531367">
      <w:pPr>
        <w:keepNext/>
        <w:spacing w:after="0" w:line="240" w:lineRule="auto"/>
        <w:jc w:val="both"/>
        <w:outlineLvl w:val="0"/>
        <w:rPr>
          <w:rFonts w:ascii="Arial" w:eastAsia="Times New Roman" w:hAnsi="Arial" w:cs="Times New Roman"/>
          <w:b/>
          <w:sz w:val="24"/>
          <w:szCs w:val="24"/>
          <w:lang w:val="en-GB"/>
        </w:rPr>
      </w:pPr>
    </w:p>
    <w:p w14:paraId="4472575F" w14:textId="77777777" w:rsidR="00531367" w:rsidRDefault="00531367" w:rsidP="00531367">
      <w:pPr>
        <w:spacing w:after="0" w:line="240" w:lineRule="auto"/>
        <w:jc w:val="both"/>
        <w:rPr>
          <w:rFonts w:ascii="Arial" w:eastAsia="Times New Roman" w:hAnsi="Arial" w:cs="Times New Roman"/>
          <w:sz w:val="20"/>
          <w:szCs w:val="24"/>
          <w:lang w:val="en-GB"/>
        </w:rPr>
      </w:pPr>
      <w:r w:rsidRPr="00962834">
        <w:rPr>
          <w:rFonts w:ascii="Arial" w:eastAsia="Times New Roman" w:hAnsi="Arial" w:cs="Times New Roman"/>
          <w:sz w:val="20"/>
          <w:szCs w:val="24"/>
          <w:lang w:val="en-GB"/>
        </w:rPr>
        <w:t>6 month and 12 month contracts available</w:t>
      </w:r>
    </w:p>
    <w:p w14:paraId="19DC1FF0" w14:textId="77777777" w:rsidR="00962834" w:rsidRDefault="00962834" w:rsidP="00962834">
      <w:pPr>
        <w:spacing w:after="0" w:line="240" w:lineRule="auto"/>
        <w:jc w:val="both"/>
        <w:rPr>
          <w:rFonts w:ascii="Arial" w:eastAsia="Times New Roman" w:hAnsi="Arial" w:cs="Times New Roman"/>
          <w:sz w:val="20"/>
          <w:szCs w:val="24"/>
          <w:lang w:val="en-GB"/>
        </w:rPr>
      </w:pPr>
    </w:p>
    <w:p w14:paraId="2CC20771" w14:textId="77777777" w:rsidR="00962834" w:rsidRDefault="00962834" w:rsidP="00962834">
      <w:pPr>
        <w:spacing w:after="0" w:line="240" w:lineRule="auto"/>
        <w:jc w:val="both"/>
        <w:rPr>
          <w:rFonts w:ascii="Arial" w:eastAsia="Times New Roman" w:hAnsi="Arial" w:cs="Times New Roman"/>
          <w:sz w:val="20"/>
          <w:szCs w:val="24"/>
          <w:lang w:val="en-GB"/>
        </w:rPr>
      </w:pPr>
    </w:p>
    <w:p w14:paraId="2AA437F1" w14:textId="77777777" w:rsidR="00962834" w:rsidRPr="00962834" w:rsidRDefault="00962834" w:rsidP="00962834">
      <w:pPr>
        <w:spacing w:after="0" w:line="240" w:lineRule="auto"/>
        <w:jc w:val="both"/>
        <w:rPr>
          <w:rFonts w:ascii="Arial" w:eastAsia="Times New Roman" w:hAnsi="Arial" w:cs="Times New Roman"/>
          <w:sz w:val="20"/>
          <w:szCs w:val="24"/>
          <w:lang w:val="en-GB"/>
        </w:rPr>
      </w:pPr>
    </w:p>
    <w:sectPr w:rsidR="00962834" w:rsidRPr="009628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FF50C" w14:textId="77777777" w:rsidR="00E12BD9" w:rsidRDefault="00E12BD9" w:rsidP="00E12BD9">
      <w:pPr>
        <w:spacing w:after="0" w:line="240" w:lineRule="auto"/>
      </w:pPr>
      <w:r>
        <w:separator/>
      </w:r>
    </w:p>
  </w:endnote>
  <w:endnote w:type="continuationSeparator" w:id="0">
    <w:p w14:paraId="4D4A15C3" w14:textId="77777777" w:rsidR="00E12BD9" w:rsidRDefault="00E12BD9" w:rsidP="00E1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8236D" w14:textId="77777777" w:rsidR="00E12BD9" w:rsidRDefault="00E12BD9" w:rsidP="00E12BD9">
      <w:pPr>
        <w:spacing w:after="0" w:line="240" w:lineRule="auto"/>
      </w:pPr>
      <w:r>
        <w:separator/>
      </w:r>
    </w:p>
  </w:footnote>
  <w:footnote w:type="continuationSeparator" w:id="0">
    <w:p w14:paraId="71119E7B" w14:textId="77777777" w:rsidR="00E12BD9" w:rsidRDefault="00E12BD9" w:rsidP="00E12BD9">
      <w:pPr>
        <w:spacing w:after="0" w:line="240" w:lineRule="auto"/>
      </w:pPr>
      <w:r>
        <w:continuationSeparator/>
      </w:r>
    </w:p>
  </w:footnote>
  <w:footnote w:id="1">
    <w:p w14:paraId="54F490AA" w14:textId="77777777" w:rsidR="00E12BD9" w:rsidRDefault="00E12BD9" w:rsidP="00E12BD9">
      <w:pPr>
        <w:pStyle w:val="FootnoteText"/>
        <w:rPr>
          <w:rFonts w:ascii="Arial" w:hAnsi="Arial"/>
          <w:sz w:val="16"/>
        </w:rPr>
      </w:pPr>
      <w:r>
        <w:rPr>
          <w:rStyle w:val="FootnoteReference"/>
          <w:rFonts w:ascii="Arial" w:hAnsi="Arial"/>
        </w:rPr>
        <w:footnoteRef/>
      </w:r>
      <w:r>
        <w:rPr>
          <w:rFonts w:ascii="Arial" w:hAnsi="Arial"/>
          <w:sz w:val="16"/>
        </w:rPr>
        <w:t xml:space="preserve"> </w:t>
      </w:r>
      <w:r>
        <w:rPr>
          <w:rFonts w:ascii="Arial" w:hAnsi="Arial"/>
          <w:sz w:val="16"/>
          <w:lang w:val="en-US"/>
        </w:rPr>
        <w:t>Training Principles to be incorporated into new working arrangements for doctors in training” published by the Medical Education and Training Group, July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CB9"/>
    <w:multiLevelType w:val="hybridMultilevel"/>
    <w:tmpl w:val="75C0C4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D124F7"/>
    <w:multiLevelType w:val="multilevel"/>
    <w:tmpl w:val="10B0B6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z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356F79"/>
    <w:multiLevelType w:val="hybridMultilevel"/>
    <w:tmpl w:val="0DFE1E2E"/>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EDA0F49"/>
    <w:multiLevelType w:val="hybridMultilevel"/>
    <w:tmpl w:val="3C46C278"/>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765BA3"/>
    <w:multiLevelType w:val="hybridMultilevel"/>
    <w:tmpl w:val="7CA68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1953B4D"/>
    <w:multiLevelType w:val="hybridMultilevel"/>
    <w:tmpl w:val="5F709F34"/>
    <w:lvl w:ilvl="0" w:tplc="B778E426">
      <w:numFmt w:val="bullet"/>
      <w:lvlText w:val="•"/>
      <w:lvlJc w:val="left"/>
      <w:pPr>
        <w:ind w:left="1440" w:hanging="72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BD9"/>
    <w:rsid w:val="00130B22"/>
    <w:rsid w:val="00363D80"/>
    <w:rsid w:val="00385251"/>
    <w:rsid w:val="003E642E"/>
    <w:rsid w:val="00477E21"/>
    <w:rsid w:val="00531367"/>
    <w:rsid w:val="00620B85"/>
    <w:rsid w:val="00692F1B"/>
    <w:rsid w:val="006D22D2"/>
    <w:rsid w:val="007C7F2D"/>
    <w:rsid w:val="00897DB0"/>
    <w:rsid w:val="00962834"/>
    <w:rsid w:val="00A22508"/>
    <w:rsid w:val="00A43FD7"/>
    <w:rsid w:val="00A54955"/>
    <w:rsid w:val="00C729E0"/>
    <w:rsid w:val="00E12BD9"/>
    <w:rsid w:val="00E31E59"/>
    <w:rsid w:val="00E5534C"/>
    <w:rsid w:val="00EE0EC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23AD1"/>
  <w15:docId w15:val="{7C792CB4-258F-447A-B482-16992BA3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E12BD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E12BD9"/>
    <w:rPr>
      <w:rFonts w:ascii="Times New Roman" w:eastAsia="Times New Roman" w:hAnsi="Times New Roman" w:cs="Times New Roman"/>
      <w:sz w:val="20"/>
      <w:szCs w:val="20"/>
      <w:lang w:val="en-GB"/>
    </w:rPr>
  </w:style>
  <w:style w:type="character" w:styleId="FootnoteReference">
    <w:name w:val="footnote reference"/>
    <w:semiHidden/>
    <w:unhideWhenUsed/>
    <w:rsid w:val="00E12BD9"/>
    <w:rPr>
      <w:vertAlign w:val="superscript"/>
    </w:rPr>
  </w:style>
  <w:style w:type="paragraph" w:styleId="ListParagraph">
    <w:name w:val="List Paragraph"/>
    <w:basedOn w:val="Normal"/>
    <w:uiPriority w:val="34"/>
    <w:qFormat/>
    <w:rsid w:val="00E12BD9"/>
    <w:pPr>
      <w:ind w:left="720"/>
      <w:contextualSpacing/>
    </w:pPr>
  </w:style>
  <w:style w:type="paragraph" w:styleId="BalloonText">
    <w:name w:val="Balloon Text"/>
    <w:basedOn w:val="Normal"/>
    <w:link w:val="BalloonTextChar"/>
    <w:uiPriority w:val="99"/>
    <w:semiHidden/>
    <w:unhideWhenUsed/>
    <w:rsid w:val="00E12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1965">
      <w:bodyDiv w:val="1"/>
      <w:marLeft w:val="0"/>
      <w:marRight w:val="0"/>
      <w:marTop w:val="0"/>
      <w:marBottom w:val="0"/>
      <w:divBdr>
        <w:top w:val="none" w:sz="0" w:space="0" w:color="auto"/>
        <w:left w:val="none" w:sz="0" w:space="0" w:color="auto"/>
        <w:bottom w:val="none" w:sz="0" w:space="0" w:color="auto"/>
        <w:right w:val="none" w:sz="0" w:space="0" w:color="auto"/>
      </w:divBdr>
    </w:div>
    <w:div w:id="1460415917">
      <w:bodyDiv w:val="1"/>
      <w:marLeft w:val="0"/>
      <w:marRight w:val="0"/>
      <w:marTop w:val="0"/>
      <w:marBottom w:val="0"/>
      <w:divBdr>
        <w:top w:val="none" w:sz="0" w:space="0" w:color="auto"/>
        <w:left w:val="none" w:sz="0" w:space="0" w:color="auto"/>
        <w:bottom w:val="none" w:sz="0" w:space="0" w:color="auto"/>
        <w:right w:val="none" w:sz="0" w:space="0" w:color="auto"/>
      </w:divBdr>
    </w:div>
    <w:div w:id="18561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lcouncil.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1395</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Madge Toye</dc:creator>
  <cp:lastModifiedBy>Melissa Egan</cp:lastModifiedBy>
  <cp:revision>2</cp:revision>
  <cp:lastPrinted>2022-11-15T13:00:00Z</cp:lastPrinted>
  <dcterms:created xsi:type="dcterms:W3CDTF">2025-11-27T11:44:00Z</dcterms:created>
  <dcterms:modified xsi:type="dcterms:W3CDTF">2025-11-27T11:44:00Z</dcterms:modified>
</cp:coreProperties>
</file>